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FB" w:rsidRDefault="001F4A88">
      <w:pPr>
        <w:ind w:left="-142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Карта семинара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50"/>
        <w:gridCol w:w="6237"/>
      </w:tblGrid>
      <w:tr w:rsidR="001B3AFB">
        <w:trPr>
          <w:trHeight w:val="557"/>
        </w:trPr>
        <w:tc>
          <w:tcPr>
            <w:tcW w:w="2235" w:type="dxa"/>
            <w:shd w:val="pct5" w:color="auto" w:fill="auto"/>
          </w:tcPr>
          <w:p w:rsidR="001B3AFB" w:rsidRDefault="001F4A88">
            <w:pPr>
              <w:spacing w:before="120" w:after="12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Шифр</w:t>
            </w:r>
          </w:p>
        </w:tc>
        <w:tc>
          <w:tcPr>
            <w:tcW w:w="7087" w:type="dxa"/>
            <w:gridSpan w:val="2"/>
          </w:tcPr>
          <w:p w:rsidR="001B3AFB" w:rsidRDefault="001F4A88" w:rsidP="00132E80">
            <w:pPr>
              <w:spacing w:before="120" w:after="120" w:line="240" w:lineRule="auto"/>
            </w:pPr>
            <w:r>
              <w:t>ПДС-</w:t>
            </w:r>
            <w:r w:rsidR="007E1301">
              <w:t>33</w:t>
            </w:r>
            <w:r w:rsidR="00132E80">
              <w:t>3</w:t>
            </w:r>
            <w:r w:rsidR="0018216A">
              <w:t>24</w:t>
            </w:r>
          </w:p>
        </w:tc>
      </w:tr>
      <w:tr w:rsidR="009C6E74">
        <w:trPr>
          <w:trHeight w:val="551"/>
        </w:trPr>
        <w:tc>
          <w:tcPr>
            <w:tcW w:w="2235" w:type="dxa"/>
            <w:shd w:val="pct5" w:color="auto" w:fill="auto"/>
          </w:tcPr>
          <w:p w:rsidR="009C6E74" w:rsidRDefault="009C6E74">
            <w:pPr>
              <w:spacing w:before="120" w:after="12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087" w:type="dxa"/>
            <w:gridSpan w:val="2"/>
          </w:tcPr>
          <w:p w:rsidR="009C6E74" w:rsidRPr="00EF4B38" w:rsidRDefault="009E5F91" w:rsidP="00EF4B38">
            <w:pPr>
              <w:pStyle w:val="af0"/>
              <w:rPr>
                <w:rStyle w:val="a3"/>
                <w:rFonts w:eastAsia="Calibri" w:cs="Times New Roman"/>
                <w:bCs w:val="0"/>
                <w:color w:val="548DD4"/>
              </w:rPr>
            </w:pPr>
            <w:r w:rsidRPr="009E5F91">
              <w:rPr>
                <w:rFonts w:eastAsia="Calibri" w:cs="Times New Roman"/>
                <w:b/>
                <w:color w:val="548DD4"/>
              </w:rPr>
              <w:t>ОРГАНИЗАЦИЯ И ОСУЩЕСТВЛЕНИЕ ВНУТРЕННЕГО ФИНАНСОВОГО КОНТРОЛЯ (АУДИТА)</w:t>
            </w:r>
            <w:r w:rsidR="00132E80">
              <w:rPr>
                <w:rFonts w:eastAsia="Calibri" w:cs="Times New Roman"/>
                <w:b/>
                <w:color w:val="548DD4"/>
              </w:rPr>
              <w:t xml:space="preserve"> </w:t>
            </w:r>
            <w:r w:rsidR="00132E80" w:rsidRPr="00132E80">
              <w:rPr>
                <w:rFonts w:eastAsia="Calibri" w:cs="Times New Roman"/>
                <w:b/>
                <w:color w:val="548DD4"/>
              </w:rPr>
              <w:t>(ДЛЯ В</w:t>
            </w:r>
            <w:r w:rsidR="00132E80">
              <w:rPr>
                <w:rFonts w:eastAsia="Calibri" w:cs="Times New Roman"/>
                <w:b/>
                <w:color w:val="548DD4"/>
              </w:rPr>
              <w:t>С</w:t>
            </w:r>
            <w:r w:rsidR="00132E80" w:rsidRPr="00132E80">
              <w:rPr>
                <w:rFonts w:eastAsia="Calibri" w:cs="Times New Roman"/>
                <w:b/>
                <w:color w:val="548DD4"/>
              </w:rPr>
              <w:t>ЕХ ОРГАНИЗАЦИОННО-ПРАВОВЫХ ФОРМ, С УТОЧНЕНИЕМ ЗАЯВКИ)</w:t>
            </w:r>
          </w:p>
        </w:tc>
      </w:tr>
      <w:tr w:rsidR="001B3AFB">
        <w:trPr>
          <w:trHeight w:val="572"/>
        </w:trPr>
        <w:tc>
          <w:tcPr>
            <w:tcW w:w="2235" w:type="dxa"/>
            <w:shd w:val="pct5" w:color="auto" w:fill="auto"/>
          </w:tcPr>
          <w:p w:rsidR="001B3AFB" w:rsidRDefault="001F4A88">
            <w:pPr>
              <w:spacing w:before="120" w:after="12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7087" w:type="dxa"/>
            <w:gridSpan w:val="2"/>
          </w:tcPr>
          <w:p w:rsidR="001B3AFB" w:rsidRDefault="0018216A" w:rsidP="00E364D4">
            <w:pPr>
              <w:spacing w:before="120" w:after="120" w:line="240" w:lineRule="auto"/>
            </w:pPr>
            <w:r w:rsidRPr="00850696">
              <w:rPr>
                <w:bCs/>
              </w:rPr>
              <w:t>22.03 – 27.03; 19.04 – 24.04; 17.05 – 22.05; 24.05 – 29.05; 14.06 – 19.06; 21.06 – 26.06; 05.07 – 10.07; 19.07 – 24.07; 26.07 – 31.07; 09.08 – 14.08; 16.08 – 21.08; 23.08 – 28.08; 06.09 – 11.09; 13.09 – 18.09; 20.09 – 25.09; 04.10 – 09.10; 18.10 – 23.10; 15.11- 20.11; 13.12-18.12</w:t>
            </w:r>
          </w:p>
        </w:tc>
      </w:tr>
      <w:tr w:rsidR="00036B6A" w:rsidTr="00036B6A">
        <w:trPr>
          <w:trHeight w:val="513"/>
        </w:trPr>
        <w:tc>
          <w:tcPr>
            <w:tcW w:w="2235" w:type="dxa"/>
            <w:shd w:val="pct5" w:color="auto" w:fill="auto"/>
          </w:tcPr>
          <w:p w:rsidR="00036B6A" w:rsidRDefault="00036B6A">
            <w:pPr>
              <w:spacing w:before="120" w:after="12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036B6A" w:rsidRDefault="00036B6A" w:rsidP="00036B6A">
            <w:pPr>
              <w:spacing w:after="0" w:line="240" w:lineRule="auto"/>
              <w:rPr>
                <w:bCs/>
              </w:rPr>
            </w:pPr>
            <w:r w:rsidRPr="00A138AF">
              <w:rPr>
                <w:bCs/>
                <w:noProof/>
                <w:lang w:eastAsia="ru-RU"/>
              </w:rPr>
              <w:drawing>
                <wp:inline distT="0" distB="0" distL="0" distR="0">
                  <wp:extent cx="381000" cy="472965"/>
                  <wp:effectExtent l="0" t="0" r="0" b="0"/>
                  <wp:docPr id="9" name="Рисунок 10" descr="Символы Олимпиады в Сочи 2014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имволы Олимпиады в Сочи 2014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418" cy="4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left w:val="nil"/>
            </w:tcBorders>
            <w:vAlign w:val="center"/>
          </w:tcPr>
          <w:p w:rsidR="00036B6A" w:rsidRDefault="00036B6A" w:rsidP="00036B6A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Сочи</w:t>
            </w:r>
          </w:p>
        </w:tc>
      </w:tr>
      <w:tr w:rsidR="001B3AFB">
        <w:tc>
          <w:tcPr>
            <w:tcW w:w="2235" w:type="dxa"/>
            <w:shd w:val="pct5" w:color="auto" w:fill="auto"/>
          </w:tcPr>
          <w:p w:rsidR="001B3AFB" w:rsidRDefault="001F4A88">
            <w:pPr>
              <w:spacing w:before="120" w:after="12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Программа семинара</w:t>
            </w:r>
          </w:p>
        </w:tc>
        <w:tc>
          <w:tcPr>
            <w:tcW w:w="7087" w:type="dxa"/>
            <w:gridSpan w:val="2"/>
          </w:tcPr>
          <w:p w:rsidR="00D56AB1" w:rsidRPr="00D56AB1" w:rsidRDefault="00D56AB1" w:rsidP="009E5F91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bCs/>
              </w:rPr>
            </w:pPr>
            <w:r w:rsidRPr="00D56AB1">
              <w:rPr>
                <w:bCs/>
              </w:rPr>
              <w:t>Организация и осуществление внутреннего финансового контроля (аудита) с целью недопущения нецелевого и неэффективного использования финансового обеспечения</w:t>
            </w:r>
          </w:p>
          <w:p w:rsidR="00F17EE2" w:rsidRPr="00132E80" w:rsidRDefault="00D56AB1" w:rsidP="009E5F91">
            <w:pPr>
              <w:spacing w:after="0" w:line="240" w:lineRule="auto"/>
              <w:ind w:left="714"/>
              <w:rPr>
                <w:bCs/>
              </w:rPr>
            </w:pPr>
            <w:r w:rsidRPr="00D56AB1">
              <w:rPr>
                <w:bCs/>
              </w:rPr>
              <w:t>(для государственных (муниципальных) учреждений)</w:t>
            </w:r>
            <w:r>
              <w:rPr>
                <w:bCs/>
              </w:rPr>
              <w:t>.</w:t>
            </w:r>
          </w:p>
          <w:p w:rsidR="00F17EE2" w:rsidRPr="00132E80" w:rsidRDefault="009E5F91" w:rsidP="00F17EE2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bCs/>
              </w:rPr>
            </w:pPr>
            <w:r w:rsidRPr="009E5F91">
              <w:rPr>
                <w:bCs/>
              </w:rPr>
              <w:t>Обзор федеральных стандартов внутренне</w:t>
            </w:r>
            <w:r>
              <w:rPr>
                <w:bCs/>
              </w:rPr>
              <w:t>го финансового контроля (аудита)</w:t>
            </w:r>
            <w:r w:rsidR="00F17EE2" w:rsidRPr="00132E80">
              <w:rPr>
                <w:bCs/>
              </w:rPr>
              <w:t>.</w:t>
            </w:r>
          </w:p>
          <w:p w:rsidR="00132E80" w:rsidRPr="00132E80" w:rsidRDefault="008B2212" w:rsidP="009E5F91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bCs/>
              </w:rPr>
            </w:pPr>
            <w:r>
              <w:rPr>
                <w:bCs/>
              </w:rPr>
              <w:t xml:space="preserve">Организация и осуществление внутреннего финансового контроля (аудита) </w:t>
            </w:r>
            <w:r w:rsidRPr="00762AAB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Pr="008B2212">
              <w:rPr>
                <w:bCs/>
              </w:rPr>
              <w:t>целью недопущения нецелевого и неэффективного использования финансового</w:t>
            </w:r>
            <w:r>
              <w:rPr>
                <w:bCs/>
              </w:rPr>
              <w:t xml:space="preserve"> </w:t>
            </w:r>
            <w:r w:rsidRPr="008B2212">
              <w:rPr>
                <w:bCs/>
              </w:rPr>
              <w:t>обеспечения</w:t>
            </w:r>
            <w:r>
              <w:rPr>
                <w:bCs/>
              </w:rPr>
              <w:t xml:space="preserve">                     </w:t>
            </w:r>
            <w:r w:rsidRPr="008B2212">
              <w:rPr>
                <w:bCs/>
              </w:rPr>
              <w:t>(для бюджетных и автономных организаций)</w:t>
            </w:r>
            <w:r w:rsidR="00D56AB1">
              <w:rPr>
                <w:bCs/>
              </w:rPr>
              <w:t>.</w:t>
            </w:r>
          </w:p>
          <w:p w:rsidR="001B3AFB" w:rsidRPr="004B257B" w:rsidRDefault="008B2212" w:rsidP="008B2212">
            <w:pPr>
              <w:numPr>
                <w:ilvl w:val="0"/>
                <w:numId w:val="9"/>
              </w:numPr>
              <w:spacing w:after="80" w:line="240" w:lineRule="auto"/>
              <w:ind w:left="714" w:hanging="357"/>
              <w:rPr>
                <w:rFonts w:asciiTheme="minorHAnsi" w:eastAsiaTheme="minorHAnsi" w:hAnsiTheme="minorHAnsi" w:cstheme="minorBidi"/>
                <w:bCs/>
              </w:rPr>
            </w:pPr>
            <w:r w:rsidRPr="008B2212">
              <w:rPr>
                <w:bCs/>
              </w:rPr>
              <w:t>Содержание элементов системы внутреннего финансового контроля для целей достижения достоверности бухгалтерской (финансовой) отчетности</w:t>
            </w:r>
            <w:r w:rsidR="00132E80" w:rsidRPr="00132E80">
              <w:rPr>
                <w:bCs/>
              </w:rPr>
              <w:t>.</w:t>
            </w:r>
            <w:r w:rsidR="00F17EE2" w:rsidRPr="008B2212">
              <w:rPr>
                <w:bCs/>
              </w:rPr>
              <w:t xml:space="preserve"> </w:t>
            </w:r>
          </w:p>
        </w:tc>
      </w:tr>
      <w:tr w:rsidR="001B3AFB">
        <w:tc>
          <w:tcPr>
            <w:tcW w:w="2235" w:type="dxa"/>
            <w:shd w:val="pct5" w:color="auto" w:fill="auto"/>
          </w:tcPr>
          <w:p w:rsidR="001B3AFB" w:rsidRDefault="001F4A88">
            <w:pPr>
              <w:spacing w:before="120" w:after="12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7087" w:type="dxa"/>
            <w:gridSpan w:val="2"/>
          </w:tcPr>
          <w:p w:rsidR="00312B48" w:rsidRPr="002834EE" w:rsidRDefault="00312B48" w:rsidP="00312B48">
            <w:pPr>
              <w:pStyle w:val="a4"/>
              <w:spacing w:before="120" w:beforeAutospacing="0" w:after="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2834EE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В стоимость включено:</w:t>
            </w:r>
          </w:p>
          <w:p w:rsidR="004562AA" w:rsidRDefault="004562AA" w:rsidP="004562AA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bCs/>
              </w:rPr>
            </w:pPr>
            <w:proofErr w:type="gramStart"/>
            <w:r>
              <w:rPr>
                <w:bCs/>
              </w:rPr>
              <w:t>обучение по программе</w:t>
            </w:r>
            <w:proofErr w:type="gramEnd"/>
            <w:r>
              <w:rPr>
                <w:bCs/>
              </w:rPr>
              <w:t xml:space="preserve"> семинара.</w:t>
            </w:r>
          </w:p>
          <w:p w:rsidR="00312B48" w:rsidRPr="004562AA" w:rsidRDefault="00312B48" w:rsidP="004562AA">
            <w:pPr>
              <w:spacing w:after="0" w:line="240" w:lineRule="auto"/>
              <w:rPr>
                <w:bCs/>
              </w:rPr>
            </w:pPr>
            <w:r w:rsidRPr="004562AA">
              <w:rPr>
                <w:rFonts w:asciiTheme="minorHAnsi" w:eastAsiaTheme="minorHAnsi" w:hAnsiTheme="minorHAnsi" w:cstheme="minorBidi"/>
                <w:bCs/>
              </w:rPr>
              <w:t>Слушателям будут выданы следующие документы:</w:t>
            </w:r>
          </w:p>
          <w:p w:rsidR="00312B48" w:rsidRPr="002834EE" w:rsidRDefault="00312B48" w:rsidP="00312B48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bCs/>
              </w:rPr>
            </w:pPr>
            <w:r w:rsidRPr="002834EE">
              <w:rPr>
                <w:bCs/>
              </w:rPr>
              <w:t xml:space="preserve">договор; </w:t>
            </w:r>
          </w:p>
          <w:p w:rsidR="00312B48" w:rsidRPr="002834EE" w:rsidRDefault="00312B48" w:rsidP="00312B48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bCs/>
              </w:rPr>
            </w:pPr>
            <w:r w:rsidRPr="002834EE">
              <w:rPr>
                <w:bCs/>
              </w:rPr>
              <w:t xml:space="preserve">акт выполненных работ; </w:t>
            </w:r>
          </w:p>
          <w:p w:rsidR="00312B48" w:rsidRPr="00312B48" w:rsidRDefault="00312B48" w:rsidP="00312B48">
            <w:pPr>
              <w:numPr>
                <w:ilvl w:val="0"/>
                <w:numId w:val="9"/>
              </w:numPr>
              <w:spacing w:after="0" w:line="240" w:lineRule="auto"/>
              <w:ind w:left="714" w:hanging="357"/>
            </w:pPr>
            <w:r w:rsidRPr="002834EE">
              <w:rPr>
                <w:bCs/>
              </w:rPr>
              <w:t xml:space="preserve">копия лицензии на образовательную деятельность; </w:t>
            </w:r>
          </w:p>
          <w:p w:rsidR="001B3AFB" w:rsidRPr="001F0921" w:rsidRDefault="009E5F91" w:rsidP="00036B6A">
            <w:pPr>
              <w:numPr>
                <w:ilvl w:val="0"/>
                <w:numId w:val="9"/>
              </w:numPr>
              <w:spacing w:after="0" w:line="240" w:lineRule="auto"/>
              <w:ind w:left="714" w:hanging="357"/>
            </w:pPr>
            <w:r>
              <w:rPr>
                <w:bCs/>
              </w:rPr>
              <w:t>удостоверение</w:t>
            </w:r>
            <w:r w:rsidR="00312B48" w:rsidRPr="002834EE">
              <w:rPr>
                <w:bCs/>
              </w:rPr>
              <w:t>.</w:t>
            </w:r>
          </w:p>
          <w:p w:rsidR="001F0921" w:rsidRDefault="001F0921" w:rsidP="001F0921">
            <w:pPr>
              <w:spacing w:after="0" w:line="240" w:lineRule="auto"/>
            </w:pPr>
          </w:p>
        </w:tc>
      </w:tr>
      <w:tr w:rsidR="001B3AFB">
        <w:trPr>
          <w:trHeight w:val="593"/>
        </w:trPr>
        <w:tc>
          <w:tcPr>
            <w:tcW w:w="2235" w:type="dxa"/>
            <w:shd w:val="pct5" w:color="auto" w:fill="auto"/>
          </w:tcPr>
          <w:p w:rsidR="001B3AFB" w:rsidRDefault="001F4A88">
            <w:pPr>
              <w:spacing w:before="120" w:after="12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</w:t>
            </w:r>
          </w:p>
        </w:tc>
        <w:tc>
          <w:tcPr>
            <w:tcW w:w="7087" w:type="dxa"/>
            <w:gridSpan w:val="2"/>
          </w:tcPr>
          <w:p w:rsidR="001B3AFB" w:rsidRDefault="00807EAB" w:rsidP="009E5F91">
            <w:pPr>
              <w:spacing w:before="120" w:after="120" w:line="240" w:lineRule="auto"/>
              <w:rPr>
                <w:bCs/>
                <w:color w:val="548DD4"/>
              </w:rPr>
            </w:pPr>
            <w:r>
              <w:rPr>
                <w:rFonts w:ascii="Verdana" w:hAnsi="Verdana"/>
                <w:color w:val="548DD4"/>
              </w:rPr>
              <w:t>2</w:t>
            </w:r>
            <w:r w:rsidR="009E5F91">
              <w:rPr>
                <w:rFonts w:ascii="Verdana" w:hAnsi="Verdana"/>
                <w:color w:val="548DD4"/>
              </w:rPr>
              <w:t>920</w:t>
            </w:r>
            <w:r>
              <w:rPr>
                <w:rFonts w:ascii="Verdana" w:hAnsi="Verdana"/>
                <w:color w:val="548DD4"/>
              </w:rPr>
              <w:t>0</w:t>
            </w:r>
            <w:r w:rsidR="001F4A88">
              <w:rPr>
                <w:rFonts w:ascii="Verdana" w:hAnsi="Verdana"/>
                <w:color w:val="548DD4"/>
              </w:rPr>
              <w:t xml:space="preserve"> руб.</w:t>
            </w:r>
          </w:p>
        </w:tc>
      </w:tr>
    </w:tbl>
    <w:p w:rsidR="001B3AFB" w:rsidRDefault="001B3AFB">
      <w:pPr>
        <w:rPr>
          <w:color w:val="FF0000"/>
          <w:sz w:val="32"/>
          <w:szCs w:val="32"/>
        </w:rPr>
      </w:pPr>
    </w:p>
    <w:p w:rsidR="00036B6A" w:rsidRDefault="004D725F" w:rsidP="004D725F">
      <w:pPr>
        <w:spacing w:after="0" w:line="240" w:lineRule="auto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br w:type="page"/>
      </w:r>
    </w:p>
    <w:p w:rsidR="00132E80" w:rsidRDefault="00132E80" w:rsidP="005D05A3">
      <w:pPr>
        <w:pStyle w:val="af0"/>
        <w:jc w:val="center"/>
        <w:rPr>
          <w:rFonts w:eastAsia="Calibri" w:cs="Times New Roman"/>
          <w:b/>
          <w:color w:val="C00000"/>
          <w:sz w:val="28"/>
          <w:szCs w:val="28"/>
        </w:rPr>
      </w:pPr>
      <w:r w:rsidRPr="00132E80">
        <w:rPr>
          <w:rFonts w:eastAsia="Calibri" w:cs="Times New Roman"/>
          <w:b/>
          <w:color w:val="C00000"/>
          <w:sz w:val="28"/>
          <w:szCs w:val="28"/>
        </w:rPr>
        <w:lastRenderedPageBreak/>
        <w:t>ОРГАНИЗАЦИЯ И ОСУЩЕСТВЛЕНИЕ ВНУТРЕННЕГО ФИНАНСОВОГО КОНТРОЛЯ (АУДИТА)</w:t>
      </w:r>
    </w:p>
    <w:p w:rsidR="00132E80" w:rsidRDefault="00132E80" w:rsidP="009E5F91">
      <w:pPr>
        <w:pStyle w:val="af0"/>
        <w:spacing w:after="240"/>
        <w:jc w:val="center"/>
        <w:rPr>
          <w:rFonts w:eastAsia="Calibri" w:cs="Times New Roman"/>
          <w:b/>
          <w:color w:val="C00000"/>
          <w:sz w:val="28"/>
          <w:szCs w:val="28"/>
        </w:rPr>
      </w:pPr>
      <w:r w:rsidRPr="00132E80">
        <w:rPr>
          <w:rStyle w:val="a3"/>
          <w:rFonts w:ascii="Calibri" w:hAnsi="Calibri"/>
          <w:color w:val="002060"/>
        </w:rPr>
        <w:t>(ДЛЯ В</w:t>
      </w:r>
      <w:r>
        <w:rPr>
          <w:rStyle w:val="a3"/>
          <w:rFonts w:ascii="Calibri" w:hAnsi="Calibri"/>
          <w:color w:val="002060"/>
        </w:rPr>
        <w:t>С</w:t>
      </w:r>
      <w:r w:rsidRPr="00132E80">
        <w:rPr>
          <w:rStyle w:val="a3"/>
          <w:rFonts w:ascii="Calibri" w:hAnsi="Calibri"/>
          <w:color w:val="002060"/>
        </w:rPr>
        <w:t>ЕХ ОРГАНИЗАЦИОННО-ПРАВОВЫХ ФОРМ, С УТОЧНЕНИЕМ ЗАЯВКИ)</w:t>
      </w:r>
    </w:p>
    <w:p w:rsidR="0058106B" w:rsidRDefault="0058106B" w:rsidP="0058106B">
      <w:pPr>
        <w:spacing w:after="0" w:line="240" w:lineRule="auto"/>
        <w:ind w:right="-2"/>
        <w:jc w:val="center"/>
        <w:rPr>
          <w:rStyle w:val="a3"/>
          <w:color w:val="548DD4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4"/>
        <w:gridCol w:w="3344"/>
      </w:tblGrid>
      <w:tr w:rsidR="0058106B" w:rsidTr="000F5775">
        <w:trPr>
          <w:trHeight w:val="1737"/>
          <w:jc w:val="center"/>
        </w:trPr>
        <w:tc>
          <w:tcPr>
            <w:tcW w:w="3344" w:type="dxa"/>
            <w:vAlign w:val="center"/>
          </w:tcPr>
          <w:p w:rsidR="0058106B" w:rsidRPr="0086046F" w:rsidRDefault="0058106B" w:rsidP="000F5775">
            <w:pPr>
              <w:tabs>
                <w:tab w:val="left" w:pos="3530"/>
              </w:tabs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4311EC" wp14:editId="061381F3">
                  <wp:extent cx="1956021" cy="1358594"/>
                  <wp:effectExtent l="0" t="0" r="0" b="0"/>
                  <wp:docPr id="3" name="Рисунок 3" descr="Hotel Zemchuzh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tel Zemchuzh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957176" cy="1359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4" w:type="dxa"/>
          </w:tcPr>
          <w:p w:rsidR="0058106B" w:rsidRPr="00036B6A" w:rsidRDefault="0058106B" w:rsidP="000F5775">
            <w:pPr>
              <w:tabs>
                <w:tab w:val="left" w:pos="13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6CFA74" wp14:editId="30D1104E">
                  <wp:extent cx="1809907" cy="1383000"/>
                  <wp:effectExtent l="0" t="0" r="0" b="0"/>
                  <wp:docPr id="4" name="Рисунок 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579" cy="1385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06B" w:rsidRPr="004014F3" w:rsidTr="000F5775">
        <w:trPr>
          <w:trHeight w:val="222"/>
          <w:jc w:val="center"/>
        </w:trPr>
        <w:tc>
          <w:tcPr>
            <w:tcW w:w="3344" w:type="dxa"/>
            <w:vAlign w:val="center"/>
          </w:tcPr>
          <w:p w:rsidR="0058106B" w:rsidRPr="004014F3" w:rsidRDefault="0058106B" w:rsidP="000F5775">
            <w:pPr>
              <w:tabs>
                <w:tab w:val="left" w:pos="353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color w:val="C00000"/>
                <w:sz w:val="20"/>
                <w:szCs w:val="20"/>
                <w:lang w:eastAsia="ru-RU"/>
              </w:rPr>
            </w:pPr>
            <w:r w:rsidRPr="004014F3">
              <w:rPr>
                <w:rFonts w:asciiTheme="minorHAnsi" w:hAnsiTheme="minorHAnsi"/>
                <w:b/>
                <w:noProof/>
                <w:color w:val="C00000"/>
                <w:sz w:val="20"/>
                <w:szCs w:val="20"/>
                <w:lang w:eastAsia="ru-RU"/>
              </w:rPr>
              <w:t>ГРАНД ОТЕЛЬ «ЖЕМЧУЖИНА»</w:t>
            </w:r>
          </w:p>
          <w:p w:rsidR="0058106B" w:rsidRPr="004014F3" w:rsidRDefault="0058106B" w:rsidP="000F5775">
            <w:pPr>
              <w:tabs>
                <w:tab w:val="left" w:pos="3530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eastAsia="ru-RU"/>
              </w:rPr>
            </w:pPr>
            <w:r w:rsidRPr="004014F3">
              <w:rPr>
                <w:rFonts w:asciiTheme="minorHAnsi" w:eastAsiaTheme="minorHAnsi" w:hAnsiTheme="minorHAnsi" w:cstheme="minorBidi"/>
                <w:b/>
                <w:bCs/>
                <w:i/>
                <w:color w:val="002060"/>
                <w:sz w:val="20"/>
                <w:szCs w:val="20"/>
              </w:rPr>
              <w:t xml:space="preserve">г. Сочи, ул. </w:t>
            </w:r>
            <w:proofErr w:type="gramStart"/>
            <w:r w:rsidRPr="004014F3">
              <w:rPr>
                <w:rFonts w:asciiTheme="minorHAnsi" w:eastAsiaTheme="minorHAnsi" w:hAnsiTheme="minorHAnsi" w:cstheme="minorBidi"/>
                <w:b/>
                <w:bCs/>
                <w:i/>
                <w:color w:val="002060"/>
                <w:sz w:val="20"/>
                <w:szCs w:val="20"/>
              </w:rPr>
              <w:t>Черноморская</w:t>
            </w:r>
            <w:proofErr w:type="gramEnd"/>
            <w:r w:rsidRPr="004014F3">
              <w:rPr>
                <w:rFonts w:asciiTheme="minorHAnsi" w:eastAsiaTheme="minorHAnsi" w:hAnsiTheme="minorHAnsi" w:cstheme="minorBidi"/>
                <w:b/>
                <w:bCs/>
                <w:i/>
                <w:color w:val="002060"/>
                <w:sz w:val="20"/>
                <w:szCs w:val="20"/>
              </w:rPr>
              <w:t>, 3</w:t>
            </w:r>
          </w:p>
        </w:tc>
        <w:tc>
          <w:tcPr>
            <w:tcW w:w="3344" w:type="dxa"/>
          </w:tcPr>
          <w:p w:rsidR="0058106B" w:rsidRPr="004014F3" w:rsidRDefault="0058106B" w:rsidP="000F5775">
            <w:pPr>
              <w:tabs>
                <w:tab w:val="left" w:pos="353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color w:val="C00000"/>
                <w:sz w:val="20"/>
                <w:szCs w:val="20"/>
                <w:lang w:eastAsia="ru-RU"/>
              </w:rPr>
            </w:pPr>
            <w:r w:rsidRPr="004014F3">
              <w:rPr>
                <w:rFonts w:asciiTheme="minorHAnsi" w:hAnsiTheme="minorHAnsi"/>
                <w:b/>
                <w:noProof/>
                <w:color w:val="C00000"/>
                <w:sz w:val="20"/>
                <w:szCs w:val="20"/>
                <w:lang w:eastAsia="ru-RU"/>
              </w:rPr>
              <w:t>СОЧИ БРИЗ ОТЕЛЬ</w:t>
            </w:r>
          </w:p>
          <w:p w:rsidR="0058106B" w:rsidRPr="004014F3" w:rsidRDefault="0058106B" w:rsidP="000F5775">
            <w:pPr>
              <w:tabs>
                <w:tab w:val="left" w:pos="353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i/>
                <w:noProof/>
                <w:color w:val="002060"/>
                <w:sz w:val="20"/>
                <w:szCs w:val="20"/>
                <w:lang w:eastAsia="ru-RU"/>
              </w:rPr>
            </w:pPr>
            <w:r w:rsidRPr="004014F3">
              <w:rPr>
                <w:rFonts w:asciiTheme="minorHAnsi" w:eastAsiaTheme="minorHAnsi" w:hAnsiTheme="minorHAnsi" w:cstheme="minorBidi"/>
                <w:b/>
                <w:bCs/>
                <w:i/>
                <w:color w:val="002060"/>
                <w:sz w:val="20"/>
                <w:szCs w:val="20"/>
              </w:rPr>
              <w:t>г. Сочи, Курортный пр-т, д. 72</w:t>
            </w:r>
          </w:p>
        </w:tc>
      </w:tr>
    </w:tbl>
    <w:p w:rsidR="0058106B" w:rsidRPr="004014F3" w:rsidRDefault="0058106B" w:rsidP="0058106B">
      <w:pPr>
        <w:spacing w:after="0" w:line="240" w:lineRule="auto"/>
        <w:ind w:right="-2"/>
        <w:jc w:val="center"/>
        <w:rPr>
          <w:rStyle w:val="a3"/>
          <w:color w:val="548DD4"/>
          <w:sz w:val="20"/>
          <w:szCs w:val="20"/>
        </w:rPr>
      </w:pPr>
    </w:p>
    <w:p w:rsidR="0058106B" w:rsidRPr="00682E50" w:rsidRDefault="0058106B" w:rsidP="005810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Theme="minorHAnsi" w:eastAsiaTheme="minorHAnsi" w:hAnsiTheme="minorHAnsi" w:cstheme="minorBidi"/>
          <w:bCs/>
        </w:rPr>
        <w:t>А</w:t>
      </w:r>
      <w:r w:rsidRPr="002568EF">
        <w:rPr>
          <w:rFonts w:asciiTheme="minorHAnsi" w:eastAsiaTheme="minorHAnsi" w:hAnsiTheme="minorHAnsi" w:cstheme="minorBidi"/>
          <w:bCs/>
        </w:rPr>
        <w:t>втор</w:t>
      </w:r>
      <w:r>
        <w:rPr>
          <w:rFonts w:asciiTheme="minorHAnsi" w:eastAsiaTheme="minorHAnsi" w:hAnsiTheme="minorHAnsi" w:cstheme="minorBidi"/>
          <w:bCs/>
        </w:rPr>
        <w:t xml:space="preserve"> и ведущая семинара </w:t>
      </w:r>
      <w:r>
        <w:rPr>
          <w:rFonts w:asciiTheme="minorHAnsi" w:eastAsiaTheme="minorHAnsi" w:hAnsiTheme="minorHAnsi" w:cstheme="minorBidi"/>
          <w:b/>
          <w:bCs/>
          <w:color w:val="C00000"/>
        </w:rPr>
        <w:t>Томских Светлана Александровна</w:t>
      </w:r>
      <w:r w:rsidRPr="00BD685D">
        <w:rPr>
          <w:rFonts w:asciiTheme="minorHAnsi" w:eastAsiaTheme="minorHAnsi" w:hAnsiTheme="minorHAnsi" w:cstheme="minorBidi"/>
          <w:bCs/>
          <w:color w:val="C00000"/>
        </w:rPr>
        <w:t xml:space="preserve">, </w:t>
      </w:r>
      <w:r w:rsidRPr="00BD685D">
        <w:rPr>
          <w:rFonts w:asciiTheme="minorHAnsi" w:eastAsiaTheme="minorHAnsi" w:hAnsiTheme="minorHAnsi" w:cstheme="minorBidi"/>
          <w:bCs/>
        </w:rPr>
        <w:t>а</w:t>
      </w:r>
      <w:r w:rsidRPr="002568EF">
        <w:rPr>
          <w:rFonts w:asciiTheme="minorHAnsi" w:hAnsiTheme="minorHAnsi"/>
        </w:rPr>
        <w:t>удитор, член  НП ААС г. Москва</w:t>
      </w:r>
      <w:r>
        <w:rPr>
          <w:rFonts w:asciiTheme="minorHAnsi" w:hAnsiTheme="minorHAnsi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106B" w:rsidRDefault="0058106B" w:rsidP="0058106B">
      <w:pPr>
        <w:spacing w:after="0" w:line="240" w:lineRule="auto"/>
        <w:ind w:right="2833"/>
        <w:rPr>
          <w:rFonts w:asciiTheme="minorHAnsi" w:eastAsiaTheme="minorHAnsi" w:hAnsiTheme="minorHAnsi" w:cstheme="minorBidi"/>
          <w:b/>
          <w:bCs/>
          <w:color w:val="C00000"/>
        </w:rPr>
      </w:pPr>
    </w:p>
    <w:p w:rsidR="0058106B" w:rsidRDefault="0058106B" w:rsidP="009E5F91">
      <w:pPr>
        <w:spacing w:after="240" w:line="240" w:lineRule="auto"/>
        <w:ind w:right="2835"/>
        <w:rPr>
          <w:rFonts w:asciiTheme="minorHAnsi" w:eastAsiaTheme="minorHAnsi" w:hAnsiTheme="minorHAnsi" w:cstheme="minorBidi"/>
          <w:b/>
          <w:bCs/>
          <w:color w:val="C00000"/>
        </w:rPr>
      </w:pPr>
      <w:r w:rsidRPr="002D0153">
        <w:rPr>
          <w:rFonts w:asciiTheme="minorHAnsi" w:eastAsiaTheme="minorHAnsi" w:hAnsiTheme="minorHAnsi" w:cstheme="minorBidi"/>
          <w:b/>
          <w:bCs/>
          <w:color w:val="C00000"/>
        </w:rPr>
        <w:t>Программа семинара</w:t>
      </w:r>
      <w:r w:rsidR="009E5F91">
        <w:rPr>
          <w:rFonts w:asciiTheme="minorHAnsi" w:eastAsiaTheme="minorHAnsi" w:hAnsiTheme="minorHAnsi" w:cstheme="minorBidi"/>
          <w:b/>
          <w:bCs/>
          <w:color w:val="C00000"/>
        </w:rPr>
        <w:t>:</w:t>
      </w:r>
    </w:p>
    <w:p w:rsidR="009E5F91" w:rsidRPr="009E5F91" w:rsidRDefault="009E5F91" w:rsidP="009E5F91">
      <w:pPr>
        <w:pStyle w:val="af0"/>
        <w:jc w:val="both"/>
        <w:rPr>
          <w:rFonts w:ascii="Calibri" w:hAnsi="Calibri" w:cs="Times New Roman"/>
          <w:b/>
        </w:rPr>
      </w:pPr>
      <w:r w:rsidRPr="009E5F91">
        <w:rPr>
          <w:rFonts w:ascii="Calibri" w:hAnsi="Calibri" w:cs="Times New Roman"/>
          <w:b/>
        </w:rPr>
        <w:t>1.</w:t>
      </w:r>
      <w:r>
        <w:rPr>
          <w:rFonts w:ascii="Calibri" w:hAnsi="Calibri" w:cs="Times New Roman"/>
          <w:b/>
        </w:rPr>
        <w:t xml:space="preserve"> </w:t>
      </w:r>
      <w:r w:rsidRPr="009E5F91">
        <w:rPr>
          <w:rFonts w:ascii="Calibri" w:hAnsi="Calibri" w:cs="Times New Roman"/>
          <w:b/>
        </w:rPr>
        <w:t>Организация и осуществление внутреннего финансового контроля (аудита) с целью недопущения нецелевого и неэффективного использования финансового обеспечения</w:t>
      </w:r>
    </w:p>
    <w:p w:rsidR="009E5F91" w:rsidRPr="009E5F91" w:rsidRDefault="009E5F91" w:rsidP="009E5F91">
      <w:pPr>
        <w:pStyle w:val="af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                           </w:t>
      </w:r>
      <w:r w:rsidRPr="009E5F91">
        <w:rPr>
          <w:rFonts w:ascii="Calibri" w:hAnsi="Calibri" w:cs="Times New Roman"/>
        </w:rPr>
        <w:t>(для государствен</w:t>
      </w:r>
      <w:r>
        <w:rPr>
          <w:rFonts w:ascii="Calibri" w:hAnsi="Calibri" w:cs="Times New Roman"/>
        </w:rPr>
        <w:t>ных (муниципальных) учреждений)</w:t>
      </w:r>
    </w:p>
    <w:p w:rsidR="009E5F91" w:rsidRPr="003F60D7" w:rsidRDefault="009E5F91" w:rsidP="009E5F91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9E5F91" w:rsidRPr="009E5F91" w:rsidRDefault="009E5F91" w:rsidP="009E5F91">
      <w:pPr>
        <w:pStyle w:val="af0"/>
        <w:spacing w:after="240"/>
        <w:rPr>
          <w:rFonts w:ascii="Calibri" w:hAnsi="Calibri" w:cs="Times New Roman"/>
          <w:u w:val="single"/>
        </w:rPr>
      </w:pPr>
      <w:r w:rsidRPr="009E5F91">
        <w:rPr>
          <w:rFonts w:ascii="Calibri" w:hAnsi="Calibri" w:cs="Times New Roman"/>
          <w:u w:val="single"/>
        </w:rPr>
        <w:t>Содержание программы:</w:t>
      </w:r>
    </w:p>
    <w:p w:rsidR="009E5F91" w:rsidRPr="009E5F91" w:rsidRDefault="009E5F91" w:rsidP="00AA3CC5">
      <w:pPr>
        <w:spacing w:after="80" w:line="240" w:lineRule="auto"/>
        <w:jc w:val="both"/>
        <w:rPr>
          <w:b/>
        </w:rPr>
      </w:pPr>
      <w:r w:rsidRPr="009E5F91">
        <w:rPr>
          <w:b/>
        </w:rPr>
        <w:t>1.</w:t>
      </w:r>
      <w:r w:rsidR="008B2212">
        <w:rPr>
          <w:b/>
        </w:rPr>
        <w:t>1.</w:t>
      </w:r>
      <w:r w:rsidRPr="009E5F91">
        <w:rPr>
          <w:b/>
        </w:rPr>
        <w:t xml:space="preserve"> Обзор федеральных стандартов вн</w:t>
      </w:r>
      <w:r>
        <w:rPr>
          <w:b/>
        </w:rPr>
        <w:t>утреннего финансового контроля (аудита)</w:t>
      </w:r>
      <w:r w:rsidRPr="009E5F91">
        <w:rPr>
          <w:b/>
        </w:rPr>
        <w:t>:</w:t>
      </w:r>
    </w:p>
    <w:p w:rsidR="009E5F91" w:rsidRPr="009E5F91" w:rsidRDefault="009E5F91" w:rsidP="00CF0C8B">
      <w:pPr>
        <w:pStyle w:val="a5"/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9E5F91">
        <w:rPr>
          <w:sz w:val="24"/>
          <w:szCs w:val="24"/>
        </w:rPr>
        <w:t>"Определения, принципы и задачи внутреннего финансового аудита";</w:t>
      </w:r>
    </w:p>
    <w:p w:rsidR="009E5F91" w:rsidRPr="009E5F91" w:rsidRDefault="009E5F91" w:rsidP="00CF0C8B">
      <w:pPr>
        <w:pStyle w:val="a5"/>
        <w:numPr>
          <w:ilvl w:val="0"/>
          <w:numId w:val="40"/>
        </w:numPr>
        <w:spacing w:after="0" w:line="240" w:lineRule="auto"/>
        <w:jc w:val="both"/>
      </w:pPr>
      <w:r w:rsidRPr="009E5F91">
        <w:t>"Права и обязанности должностных лиц (работников) по осуществлению внутреннего финансового аудита".</w:t>
      </w:r>
    </w:p>
    <w:p w:rsidR="009E5F91" w:rsidRPr="009E5F91" w:rsidRDefault="009E5F91" w:rsidP="00CF0C8B">
      <w:pPr>
        <w:pStyle w:val="a5"/>
        <w:numPr>
          <w:ilvl w:val="0"/>
          <w:numId w:val="40"/>
        </w:numPr>
        <w:spacing w:after="0" w:line="240" w:lineRule="auto"/>
        <w:jc w:val="both"/>
      </w:pPr>
      <w:r w:rsidRPr="009E5F91">
        <w:t>"Основания и порядок организации, случаи и порядок передачи полномочий по осуществлению ВФА";</w:t>
      </w:r>
    </w:p>
    <w:p w:rsidR="009E5F91" w:rsidRPr="009E5F91" w:rsidRDefault="009E5F91" w:rsidP="00CF0C8B">
      <w:pPr>
        <w:pStyle w:val="a5"/>
        <w:numPr>
          <w:ilvl w:val="0"/>
          <w:numId w:val="40"/>
        </w:numPr>
        <w:spacing w:after="0" w:line="240" w:lineRule="auto"/>
        <w:jc w:val="both"/>
      </w:pPr>
      <w:r w:rsidRPr="009E5F91">
        <w:t>"Принципы контрольной деятельности органов внутреннего государственного (муниципального) финансового контроля";</w:t>
      </w:r>
    </w:p>
    <w:p w:rsidR="009E5F91" w:rsidRPr="009E5F91" w:rsidRDefault="009E5F91" w:rsidP="00CF0C8B">
      <w:pPr>
        <w:pStyle w:val="a5"/>
        <w:numPr>
          <w:ilvl w:val="0"/>
          <w:numId w:val="40"/>
        </w:numPr>
        <w:spacing w:after="0" w:line="240" w:lineRule="auto"/>
        <w:jc w:val="both"/>
      </w:pPr>
      <w:r w:rsidRPr="009E5F91">
        <w:t>"Реализация результатов проверок, ревизий и обследований";</w:t>
      </w:r>
    </w:p>
    <w:p w:rsidR="009E5F91" w:rsidRPr="009E5F91" w:rsidRDefault="008B2212" w:rsidP="00CF0C8B">
      <w:pPr>
        <w:spacing w:after="0" w:line="240" w:lineRule="auto"/>
        <w:jc w:val="both"/>
      </w:pPr>
      <w:r>
        <w:t>1.</w:t>
      </w:r>
      <w:r w:rsidR="009E5F91" w:rsidRPr="009E5F91">
        <w:t xml:space="preserve">2. </w:t>
      </w:r>
      <w:r w:rsidRPr="008B2212">
        <w:t>Административная ответственность за нарушение порядка представления и достоверности бухгалтерской (бюджетной) отчетности</w:t>
      </w:r>
      <w:r w:rsidR="009E5F91" w:rsidRPr="009E5F91">
        <w:t>.</w:t>
      </w:r>
    </w:p>
    <w:p w:rsidR="009E5F91" w:rsidRPr="009E5F91" w:rsidRDefault="008B2212" w:rsidP="00CF0C8B">
      <w:pPr>
        <w:spacing w:after="0" w:line="240" w:lineRule="auto"/>
        <w:jc w:val="both"/>
      </w:pPr>
      <w:r>
        <w:t>1.</w:t>
      </w:r>
      <w:r w:rsidR="009E5F91" w:rsidRPr="009E5F91">
        <w:t xml:space="preserve">3. </w:t>
      </w:r>
      <w:r w:rsidRPr="008B2212">
        <w:t>Содержание элементов системы внутреннего финансового контроля для целей достижения достоверности бухгалтерской (финансовой) отчетности.</w:t>
      </w:r>
    </w:p>
    <w:p w:rsidR="009E5F91" w:rsidRPr="009E5F91" w:rsidRDefault="008B2212" w:rsidP="00CF0C8B">
      <w:pPr>
        <w:spacing w:after="0" w:line="240" w:lineRule="auto"/>
        <w:jc w:val="both"/>
      </w:pPr>
      <w:r>
        <w:t>1.</w:t>
      </w:r>
      <w:r w:rsidR="009E5F91" w:rsidRPr="009E5F91">
        <w:t>4. Организация службы (комиссии) внутреннего финансового контроля в организации:</w:t>
      </w:r>
    </w:p>
    <w:p w:rsidR="009E5F91" w:rsidRDefault="008B2212" w:rsidP="00CF0C8B">
      <w:pPr>
        <w:spacing w:after="0" w:line="240" w:lineRule="auto"/>
        <w:jc w:val="both"/>
      </w:pPr>
      <w:r>
        <w:t>1.</w:t>
      </w:r>
      <w:r w:rsidR="009A3703" w:rsidRPr="009A3703">
        <w:t>5</w:t>
      </w:r>
      <w:r w:rsidR="009E5F91" w:rsidRPr="009A3703">
        <w:t>.</w:t>
      </w:r>
      <w:r>
        <w:t xml:space="preserve"> </w:t>
      </w:r>
      <w:r w:rsidR="009E5F91" w:rsidRPr="009A3703">
        <w:t>Квалификационные требования к специалистам службы внутреннего контроля (аудита).</w:t>
      </w:r>
    </w:p>
    <w:p w:rsidR="00B33675" w:rsidRPr="00B33675" w:rsidRDefault="00B33675" w:rsidP="00CF0C8B">
      <w:pPr>
        <w:spacing w:after="0" w:line="240" w:lineRule="auto"/>
        <w:jc w:val="both"/>
      </w:pPr>
      <w:r>
        <w:t xml:space="preserve">1.6. </w:t>
      </w:r>
      <w:r w:rsidRPr="00B33675">
        <w:t xml:space="preserve">Нормативное регулирование организации  внутреннего финансового контроля (аудита) </w:t>
      </w:r>
      <w:r w:rsidRPr="00B33675">
        <w:rPr>
          <w:b/>
        </w:rPr>
        <w:t>(элементы контроля, контрольная среда, подтверждение достоверности бухгалтерской (финансовой) отчетности, оценка системы внутреннего контроля)</w:t>
      </w:r>
      <w:r w:rsidRPr="00B33675">
        <w:t>.</w:t>
      </w:r>
    </w:p>
    <w:p w:rsidR="00B33675" w:rsidRPr="00B33675" w:rsidRDefault="00B33675" w:rsidP="00AA3CC5">
      <w:pPr>
        <w:spacing w:after="0" w:line="240" w:lineRule="auto"/>
        <w:jc w:val="both"/>
      </w:pPr>
      <w:r>
        <w:t xml:space="preserve">1.7. </w:t>
      </w:r>
      <w:r w:rsidRPr="00B33675">
        <w:t>Отличия внутреннего финансового контроля  и внутреннего финансового аудита.</w:t>
      </w:r>
    </w:p>
    <w:p w:rsidR="00B33675" w:rsidRPr="00B33675" w:rsidRDefault="00B33675" w:rsidP="00AA3CC5">
      <w:pPr>
        <w:spacing w:after="0" w:line="240" w:lineRule="auto"/>
        <w:jc w:val="both"/>
      </w:pPr>
      <w:r>
        <w:t xml:space="preserve">1.8. </w:t>
      </w:r>
      <w:r w:rsidRPr="00B33675">
        <w:t xml:space="preserve">Обзор содержания профессионального стандарта «Специалист по внутреннему контролю (внутренний контролер)» </w:t>
      </w:r>
      <w:r w:rsidRPr="00B33675">
        <w:rPr>
          <w:b/>
        </w:rPr>
        <w:t>(общие сведения, трудовые функции и их характер, в зависимости должности и профессии)</w:t>
      </w:r>
      <w:r w:rsidRPr="00B33675">
        <w:t>.</w:t>
      </w:r>
    </w:p>
    <w:p w:rsidR="00B33675" w:rsidRPr="00B33675" w:rsidRDefault="00B33675" w:rsidP="00AA3CC5">
      <w:pPr>
        <w:spacing w:after="0" w:line="240" w:lineRule="auto"/>
        <w:jc w:val="both"/>
      </w:pPr>
      <w:r>
        <w:lastRenderedPageBreak/>
        <w:t xml:space="preserve">1.9. </w:t>
      </w:r>
      <w:r w:rsidRPr="00B33675">
        <w:t xml:space="preserve">Обзор содержания профессионального стандарта «Специалист по внутреннему аудиту (внутренний аудитор)» </w:t>
      </w:r>
      <w:r w:rsidRPr="00B33675">
        <w:rPr>
          <w:b/>
        </w:rPr>
        <w:t>(общие сведения, трудовые функции и их характер, в зависимости должности и профессии)</w:t>
      </w:r>
      <w:r w:rsidRPr="00B33675">
        <w:t>.</w:t>
      </w:r>
    </w:p>
    <w:p w:rsidR="00B33675" w:rsidRPr="00B33675" w:rsidRDefault="00B33675" w:rsidP="00AA3CC5">
      <w:pPr>
        <w:spacing w:after="80" w:line="240" w:lineRule="auto"/>
        <w:jc w:val="both"/>
      </w:pPr>
      <w:r>
        <w:t xml:space="preserve">1.10. </w:t>
      </w:r>
      <w:r w:rsidRPr="00B33675">
        <w:t>Локальные нормативные акты, регулирующие внутреннюю антикоррупционную политику в коммерческих и некоммерческих организациях (обзор профессионального стандарта «Специалист по управлению рисками)».</w:t>
      </w:r>
    </w:p>
    <w:p w:rsidR="008B2212" w:rsidRPr="008B2212" w:rsidRDefault="009E5F91" w:rsidP="00AA3CC5">
      <w:pPr>
        <w:spacing w:after="0" w:line="240" w:lineRule="auto"/>
        <w:ind w:firstLine="567"/>
        <w:jc w:val="both"/>
      </w:pPr>
      <w:r w:rsidRPr="009A3703">
        <w:rPr>
          <w:b/>
        </w:rPr>
        <w:t xml:space="preserve">2. </w:t>
      </w:r>
      <w:r w:rsidR="008B2212" w:rsidRPr="008B2212">
        <w:rPr>
          <w:b/>
        </w:rPr>
        <w:t>Организация и осуществление внутреннего финансового контроля (аудита) с целью недопущения нецелевого и неэффективного использования финансового обеспечения</w:t>
      </w:r>
      <w:r w:rsidR="008B2212">
        <w:rPr>
          <w:b/>
        </w:rPr>
        <w:t xml:space="preserve"> </w:t>
      </w:r>
    </w:p>
    <w:p w:rsidR="009E5F91" w:rsidRPr="008B2212" w:rsidRDefault="008B2212" w:rsidP="00AA3CC5">
      <w:pPr>
        <w:spacing w:after="0" w:line="240" w:lineRule="auto"/>
        <w:ind w:firstLine="567"/>
        <w:jc w:val="both"/>
      </w:pPr>
      <w:r>
        <w:t xml:space="preserve">                                    </w:t>
      </w:r>
      <w:r w:rsidRPr="008B2212">
        <w:t xml:space="preserve"> (для бюджетных и автономных организаций)</w:t>
      </w:r>
    </w:p>
    <w:p w:rsidR="009E5F91" w:rsidRPr="009A3703" w:rsidRDefault="009E5F91" w:rsidP="00AA3CC5">
      <w:pPr>
        <w:pStyle w:val="af0"/>
        <w:rPr>
          <w:rFonts w:ascii="Calibri" w:hAnsi="Calibri" w:cs="Times New Roman"/>
          <w:u w:val="single"/>
        </w:rPr>
      </w:pPr>
      <w:r w:rsidRPr="009A3703">
        <w:rPr>
          <w:rFonts w:ascii="Calibri" w:hAnsi="Calibri" w:cs="Times New Roman"/>
          <w:u w:val="single"/>
        </w:rPr>
        <w:t>Содержание программы</w:t>
      </w:r>
      <w:r w:rsidR="009A3703">
        <w:rPr>
          <w:rFonts w:ascii="Calibri" w:hAnsi="Calibri" w:cs="Times New Roman"/>
          <w:u w:val="single"/>
        </w:rPr>
        <w:t>:</w:t>
      </w:r>
    </w:p>
    <w:p w:rsidR="008B2212" w:rsidRPr="00263D88" w:rsidRDefault="008B2212" w:rsidP="00AA3C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t>2.</w:t>
      </w:r>
      <w:r w:rsidR="009E5F91" w:rsidRPr="009A3703">
        <w:t xml:space="preserve">1. </w:t>
      </w:r>
      <w:r w:rsidRPr="008B2212">
        <w:t>Содержание элементов системы внутреннего финансового контроля для целей достижения достоверности бухгалтерской (финансовой) отчетности</w:t>
      </w:r>
      <w:r>
        <w:t>:</w:t>
      </w:r>
    </w:p>
    <w:p w:rsidR="008B2212" w:rsidRPr="00CF0C8B" w:rsidRDefault="008B2212" w:rsidP="00AA3CC5">
      <w:pPr>
        <w:pStyle w:val="a5"/>
        <w:numPr>
          <w:ilvl w:val="0"/>
          <w:numId w:val="43"/>
        </w:numPr>
        <w:spacing w:after="0" w:line="240" w:lineRule="auto"/>
        <w:jc w:val="both"/>
      </w:pPr>
      <w:r w:rsidRPr="00CF0C8B">
        <w:t>определения, принципы и задачи организации,  осуществления финансового внутреннего контроля;</w:t>
      </w:r>
    </w:p>
    <w:p w:rsidR="008B2212" w:rsidRPr="00CF0C8B" w:rsidRDefault="008B2212" w:rsidP="00AA3CC5">
      <w:pPr>
        <w:pStyle w:val="a5"/>
        <w:numPr>
          <w:ilvl w:val="0"/>
          <w:numId w:val="43"/>
        </w:numPr>
        <w:spacing w:after="0" w:line="240" w:lineRule="auto"/>
        <w:jc w:val="both"/>
      </w:pPr>
      <w:r w:rsidRPr="00CF0C8B">
        <w:t>объекты внутреннего финансового контроля.</w:t>
      </w:r>
    </w:p>
    <w:p w:rsidR="008B2212" w:rsidRPr="00CF0C8B" w:rsidRDefault="008B2212" w:rsidP="00AA3CC5">
      <w:pPr>
        <w:pStyle w:val="a5"/>
        <w:numPr>
          <w:ilvl w:val="0"/>
          <w:numId w:val="43"/>
        </w:numPr>
        <w:spacing w:after="0" w:line="240" w:lineRule="auto"/>
        <w:jc w:val="both"/>
      </w:pPr>
      <w:r w:rsidRPr="00CF0C8B">
        <w:t>методы и способы осуществления внутреннего финансового контроля.</w:t>
      </w:r>
    </w:p>
    <w:p w:rsidR="008B2212" w:rsidRPr="00CF0C8B" w:rsidRDefault="008B2212" w:rsidP="00AA3CC5">
      <w:pPr>
        <w:pStyle w:val="a5"/>
        <w:numPr>
          <w:ilvl w:val="0"/>
          <w:numId w:val="43"/>
        </w:numPr>
        <w:spacing w:after="0" w:line="240" w:lineRule="auto"/>
        <w:jc w:val="both"/>
      </w:pPr>
      <w:r w:rsidRPr="00CF0C8B">
        <w:t>реализация результатов осуществления финансового контроля.</w:t>
      </w:r>
    </w:p>
    <w:p w:rsidR="008B2212" w:rsidRPr="00CF0C8B" w:rsidRDefault="008B2212" w:rsidP="00AA3CC5">
      <w:pPr>
        <w:pStyle w:val="a5"/>
        <w:numPr>
          <w:ilvl w:val="0"/>
          <w:numId w:val="43"/>
        </w:numPr>
        <w:spacing w:after="0" w:line="240" w:lineRule="auto"/>
        <w:jc w:val="both"/>
      </w:pPr>
      <w:r w:rsidRPr="00CF0C8B">
        <w:t>принятие решений по итогам  рассмотрения результатов внутреннего контроля.</w:t>
      </w:r>
    </w:p>
    <w:p w:rsidR="008B2212" w:rsidRPr="00CF0C8B" w:rsidRDefault="008B2212" w:rsidP="00AA3CC5">
      <w:pPr>
        <w:pStyle w:val="a5"/>
        <w:numPr>
          <w:ilvl w:val="0"/>
          <w:numId w:val="43"/>
        </w:numPr>
        <w:spacing w:after="0" w:line="240" w:lineRule="auto"/>
        <w:jc w:val="both"/>
      </w:pPr>
      <w:r w:rsidRPr="00CF0C8B">
        <w:t>права и обязанности должностных лиц (членов комиссии) по осуществлению внутреннего финансового контроля.</w:t>
      </w:r>
    </w:p>
    <w:p w:rsidR="009E5F91" w:rsidRPr="009A3703" w:rsidRDefault="008B2212" w:rsidP="00AA3CC5">
      <w:pPr>
        <w:spacing w:after="0" w:line="240" w:lineRule="auto"/>
        <w:jc w:val="both"/>
      </w:pPr>
      <w:r>
        <w:t>2.2</w:t>
      </w:r>
      <w:r w:rsidR="009E5F91" w:rsidRPr="009A3703">
        <w:t>.</w:t>
      </w:r>
      <w:r w:rsidRPr="008B2212">
        <w:rPr>
          <w:rFonts w:ascii="Times New Roman" w:hAnsi="Times New Roman"/>
          <w:sz w:val="28"/>
          <w:szCs w:val="28"/>
        </w:rPr>
        <w:t xml:space="preserve"> </w:t>
      </w:r>
      <w:r w:rsidRPr="008B2212">
        <w:t>Конструктор «Положения организации и осуществления внутреннего финансового контроля (бюджетных и автономных учреждений)</w:t>
      </w:r>
      <w:r w:rsidR="009E5F91" w:rsidRPr="009A3703">
        <w:t>.</w:t>
      </w:r>
    </w:p>
    <w:p w:rsidR="009E5F91" w:rsidRDefault="008B2212" w:rsidP="00AA3CC5">
      <w:pPr>
        <w:spacing w:after="0" w:line="240" w:lineRule="auto"/>
        <w:jc w:val="both"/>
      </w:pPr>
      <w:r>
        <w:t>2.3</w:t>
      </w:r>
      <w:r w:rsidR="009E5F91" w:rsidRPr="009A3703">
        <w:t xml:space="preserve">. </w:t>
      </w:r>
      <w:r w:rsidRPr="008B2212">
        <w:t>Квалификационные требования к специалистам службы внутреннего финансового контроля</w:t>
      </w:r>
      <w:r w:rsidR="009E5F91" w:rsidRPr="009A3703">
        <w:t>.</w:t>
      </w:r>
    </w:p>
    <w:p w:rsidR="00B33675" w:rsidRPr="00B33675" w:rsidRDefault="00B33675" w:rsidP="00AA3CC5">
      <w:pPr>
        <w:spacing w:after="0" w:line="240" w:lineRule="auto"/>
        <w:jc w:val="both"/>
      </w:pPr>
      <w:r>
        <w:t>2.</w:t>
      </w:r>
      <w:r w:rsidR="00CF0C8B">
        <w:t>4</w:t>
      </w:r>
      <w:r>
        <w:t xml:space="preserve">. </w:t>
      </w:r>
      <w:r w:rsidRPr="00B33675">
        <w:t xml:space="preserve">Система внутреннего финансового контроля (аудита) </w:t>
      </w:r>
      <w:r w:rsidRPr="00B33675">
        <w:rPr>
          <w:b/>
        </w:rPr>
        <w:t>(элементы контроля, контрольная среда, подтверждение достоверности бухгалтерской (финансовой) отчетности, оценка системы внутреннего контроля)</w:t>
      </w:r>
      <w:r w:rsidRPr="00B33675">
        <w:t>.</w:t>
      </w:r>
    </w:p>
    <w:p w:rsidR="00B33675" w:rsidRPr="00B33675" w:rsidRDefault="00B33675" w:rsidP="00AA3CC5">
      <w:pPr>
        <w:spacing w:after="0" w:line="240" w:lineRule="auto"/>
        <w:jc w:val="both"/>
      </w:pPr>
      <w:r>
        <w:t>2.</w:t>
      </w:r>
      <w:r w:rsidR="00CF0C8B">
        <w:t>5</w:t>
      </w:r>
      <w:r>
        <w:t xml:space="preserve">. </w:t>
      </w:r>
      <w:r w:rsidRPr="00B33675">
        <w:t>Отличия внутреннего финансового контроля  и внутреннего финансового аудита.</w:t>
      </w:r>
    </w:p>
    <w:p w:rsidR="00B33675" w:rsidRPr="00B33675" w:rsidRDefault="00B33675" w:rsidP="00AA3CC5">
      <w:pPr>
        <w:spacing w:after="0" w:line="240" w:lineRule="auto"/>
        <w:jc w:val="both"/>
      </w:pPr>
      <w:r>
        <w:t>2.</w:t>
      </w:r>
      <w:r w:rsidR="00CF0C8B">
        <w:t>6</w:t>
      </w:r>
      <w:r>
        <w:t xml:space="preserve">. </w:t>
      </w:r>
      <w:r w:rsidRPr="00B33675">
        <w:t xml:space="preserve">Организация и осуществление внутреннего финансового контроля в организации бюджетной сферы </w:t>
      </w:r>
      <w:r w:rsidRPr="00CF0C8B">
        <w:rPr>
          <w:b/>
        </w:rPr>
        <w:t>(бюджетная и автономная организации)</w:t>
      </w:r>
      <w:r w:rsidRPr="00B33675">
        <w:t>.</w:t>
      </w:r>
    </w:p>
    <w:p w:rsidR="00B33675" w:rsidRPr="00B33675" w:rsidRDefault="00B33675" w:rsidP="00AA3CC5">
      <w:pPr>
        <w:spacing w:after="0" w:line="240" w:lineRule="auto"/>
        <w:jc w:val="both"/>
      </w:pPr>
      <w:r>
        <w:t>2.</w:t>
      </w:r>
      <w:r w:rsidR="00CF0C8B">
        <w:t>7</w:t>
      </w:r>
      <w:r>
        <w:t xml:space="preserve">. </w:t>
      </w:r>
      <w:r w:rsidRPr="00B33675">
        <w:t xml:space="preserve">Обзор содержания профессионального стандарта «Специалист по внутреннему контролю (внутренний контролер)» </w:t>
      </w:r>
      <w:r w:rsidRPr="00CF0C8B">
        <w:rPr>
          <w:b/>
        </w:rPr>
        <w:t>(общие сведения, трудовые функции и их характер, в зависимости должности и профессии)</w:t>
      </w:r>
      <w:r w:rsidRPr="00B33675">
        <w:t>.</w:t>
      </w:r>
    </w:p>
    <w:p w:rsidR="00B33675" w:rsidRPr="00B33675" w:rsidRDefault="00B33675" w:rsidP="00AA3CC5">
      <w:pPr>
        <w:spacing w:after="0" w:line="240" w:lineRule="auto"/>
        <w:jc w:val="both"/>
      </w:pPr>
      <w:r>
        <w:t>2.</w:t>
      </w:r>
      <w:r w:rsidR="00CF0C8B">
        <w:t>8</w:t>
      </w:r>
      <w:r>
        <w:t xml:space="preserve">. </w:t>
      </w:r>
      <w:r w:rsidRPr="00B33675">
        <w:t xml:space="preserve">Обзор содержания профессионального стандарта «Специалист по внутреннему аудиту (внутренний аудитор)» </w:t>
      </w:r>
      <w:r w:rsidRPr="00CF0C8B">
        <w:rPr>
          <w:b/>
        </w:rPr>
        <w:t>(общие сведения, трудовые функции и их характер, в зависимости должности и профессии)</w:t>
      </w:r>
      <w:r w:rsidRPr="00B33675">
        <w:t>.</w:t>
      </w:r>
    </w:p>
    <w:p w:rsidR="00B33675" w:rsidRPr="00B33675" w:rsidRDefault="00CF0C8B" w:rsidP="00AA3CC5">
      <w:pPr>
        <w:spacing w:after="120" w:line="240" w:lineRule="auto"/>
        <w:jc w:val="both"/>
      </w:pPr>
      <w:r>
        <w:t>2.9</w:t>
      </w:r>
      <w:r w:rsidR="00B33675">
        <w:t xml:space="preserve">. </w:t>
      </w:r>
      <w:r w:rsidR="00B33675" w:rsidRPr="00B33675">
        <w:t xml:space="preserve">Обзор содержания профессионального стандарта «Специалист по управлению рисками» </w:t>
      </w:r>
      <w:r w:rsidR="00B33675" w:rsidRPr="00CF0C8B">
        <w:rPr>
          <w:b/>
        </w:rPr>
        <w:t>(общие сведения, трудовые функции и их характер, в зависимости должности и профессии)</w:t>
      </w:r>
      <w:r w:rsidR="00B33675" w:rsidRPr="00B33675">
        <w:t>.</w:t>
      </w:r>
    </w:p>
    <w:p w:rsidR="008B2212" w:rsidRPr="008B2212" w:rsidRDefault="008B2212" w:rsidP="00AA3CC5">
      <w:pPr>
        <w:pStyle w:val="af0"/>
        <w:jc w:val="both"/>
        <w:rPr>
          <w:rFonts w:ascii="Calibri" w:eastAsia="Calibri" w:hAnsi="Calibri" w:cs="Times New Roman"/>
          <w:b/>
        </w:rPr>
      </w:pPr>
      <w:r w:rsidRPr="00F32669">
        <w:rPr>
          <w:rFonts w:ascii="Calibri" w:eastAsia="Calibri" w:hAnsi="Calibri" w:cs="Times New Roman"/>
          <w:b/>
        </w:rPr>
        <w:t>3.</w:t>
      </w:r>
      <w:r w:rsidRPr="00762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212">
        <w:rPr>
          <w:rFonts w:ascii="Calibri" w:eastAsia="Calibri" w:hAnsi="Calibri" w:cs="Times New Roman"/>
          <w:b/>
        </w:rPr>
        <w:t>Актуальные вопросы организации и осуществление внутреннего контроля с целью оценки достоверности данных, содержащихся в бухгалтерской (финансовой) отчетности</w:t>
      </w:r>
    </w:p>
    <w:p w:rsidR="008B2212" w:rsidRPr="00762AAB" w:rsidRDefault="008B2212" w:rsidP="00AA3CC5">
      <w:p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               </w:t>
      </w:r>
      <w:proofErr w:type="gramStart"/>
      <w:r w:rsidRPr="008B2212">
        <w:t>(для публичных и непубличных акционерных обществ (далее – ПАО, АО)</w:t>
      </w:r>
      <w:proofErr w:type="gramEnd"/>
    </w:p>
    <w:p w:rsidR="008B2212" w:rsidRPr="008B2212" w:rsidRDefault="008B2212" w:rsidP="00AA3CC5">
      <w:pPr>
        <w:spacing w:after="0" w:line="240" w:lineRule="auto"/>
        <w:jc w:val="both"/>
        <w:rPr>
          <w:u w:val="single"/>
        </w:rPr>
      </w:pPr>
      <w:r w:rsidRPr="008B2212">
        <w:rPr>
          <w:u w:val="single"/>
        </w:rPr>
        <w:t>Содержание программы:</w:t>
      </w:r>
    </w:p>
    <w:p w:rsidR="008B2212" w:rsidRPr="008B2212" w:rsidRDefault="008B2212" w:rsidP="00AA3CC5">
      <w:pPr>
        <w:spacing w:after="0" w:line="240" w:lineRule="auto"/>
        <w:jc w:val="both"/>
      </w:pPr>
      <w:r>
        <w:t>3.</w:t>
      </w:r>
      <w:r w:rsidRPr="008B2212">
        <w:t>1. Законодательные, нормативные правовые, методологические акты, регулирующие систему организации и осуществления внутреннего контроля (аудита) акционерными обществами.</w:t>
      </w:r>
    </w:p>
    <w:p w:rsidR="008B2212" w:rsidRPr="008B2212" w:rsidRDefault="008B2212" w:rsidP="00AA3CC5">
      <w:pPr>
        <w:spacing w:after="0" w:line="240" w:lineRule="auto"/>
        <w:jc w:val="both"/>
      </w:pPr>
      <w:r>
        <w:t>3.</w:t>
      </w:r>
      <w:r w:rsidRPr="008B2212">
        <w:t>2. Содержание элементов системы внутреннего финансового контроля для целей достижения достоверности бухгалтерской (финансовой) отчетности:</w:t>
      </w:r>
    </w:p>
    <w:p w:rsidR="008B2212" w:rsidRPr="00CF0C8B" w:rsidRDefault="008B2212" w:rsidP="00AA3CC5">
      <w:pPr>
        <w:pStyle w:val="af0"/>
        <w:numPr>
          <w:ilvl w:val="0"/>
          <w:numId w:val="44"/>
        </w:numPr>
        <w:jc w:val="both"/>
        <w:rPr>
          <w:rFonts w:ascii="Calibri" w:eastAsia="Calibri" w:hAnsi="Calibri" w:cs="Times New Roman"/>
        </w:rPr>
      </w:pPr>
      <w:r w:rsidRPr="00CF0C8B">
        <w:rPr>
          <w:rFonts w:ascii="Calibri" w:eastAsia="Calibri" w:hAnsi="Calibri" w:cs="Times New Roman"/>
        </w:rPr>
        <w:t>понятие, цели и задачи системы управлениями рисками, системы внутреннего контроля и внутреннего аудита;</w:t>
      </w:r>
    </w:p>
    <w:p w:rsidR="008B2212" w:rsidRPr="00CF0C8B" w:rsidRDefault="008B2212" w:rsidP="00AA3CC5">
      <w:pPr>
        <w:pStyle w:val="af0"/>
        <w:numPr>
          <w:ilvl w:val="0"/>
          <w:numId w:val="44"/>
        </w:numPr>
        <w:jc w:val="both"/>
        <w:rPr>
          <w:rFonts w:ascii="Calibri" w:eastAsia="Calibri" w:hAnsi="Calibri" w:cs="Times New Roman"/>
        </w:rPr>
      </w:pPr>
      <w:r w:rsidRPr="00CF0C8B">
        <w:rPr>
          <w:rFonts w:ascii="Calibri" w:eastAsia="Calibri" w:hAnsi="Calibri" w:cs="Times New Roman"/>
        </w:rPr>
        <w:t>субъекты, объекты и процедуры системы управлениями рисками, внутреннего контроля;</w:t>
      </w:r>
    </w:p>
    <w:p w:rsidR="008B2212" w:rsidRPr="00CF0C8B" w:rsidRDefault="008B2212" w:rsidP="00AA3CC5">
      <w:pPr>
        <w:pStyle w:val="af0"/>
        <w:numPr>
          <w:ilvl w:val="0"/>
          <w:numId w:val="44"/>
        </w:numPr>
        <w:jc w:val="both"/>
        <w:rPr>
          <w:rFonts w:ascii="Calibri" w:eastAsia="Calibri" w:hAnsi="Calibri" w:cs="Times New Roman"/>
        </w:rPr>
      </w:pPr>
      <w:r w:rsidRPr="00CF0C8B">
        <w:rPr>
          <w:rFonts w:ascii="Calibri" w:eastAsia="Calibri" w:hAnsi="Calibri" w:cs="Times New Roman"/>
        </w:rPr>
        <w:t>понятие и схемы корпоративного мошенничества;</w:t>
      </w:r>
    </w:p>
    <w:p w:rsidR="008B2212" w:rsidRPr="00CF0C8B" w:rsidRDefault="008B2212" w:rsidP="00AA3CC5">
      <w:pPr>
        <w:pStyle w:val="af0"/>
        <w:numPr>
          <w:ilvl w:val="0"/>
          <w:numId w:val="44"/>
        </w:numPr>
        <w:jc w:val="both"/>
        <w:rPr>
          <w:rFonts w:ascii="Calibri" w:eastAsia="Calibri" w:hAnsi="Calibri" w:cs="Times New Roman"/>
        </w:rPr>
      </w:pPr>
      <w:r w:rsidRPr="00CF0C8B">
        <w:rPr>
          <w:rFonts w:ascii="Calibri" w:eastAsia="Calibri" w:hAnsi="Calibri" w:cs="Times New Roman"/>
        </w:rPr>
        <w:t>процедуры контрольных действий;</w:t>
      </w:r>
    </w:p>
    <w:p w:rsidR="008B2212" w:rsidRPr="00CF0C8B" w:rsidRDefault="008B2212" w:rsidP="00AA3CC5">
      <w:pPr>
        <w:pStyle w:val="af0"/>
        <w:numPr>
          <w:ilvl w:val="0"/>
          <w:numId w:val="44"/>
        </w:numPr>
        <w:jc w:val="both"/>
        <w:rPr>
          <w:rFonts w:ascii="Calibri" w:eastAsia="Calibri" w:hAnsi="Calibri" w:cs="Times New Roman"/>
        </w:rPr>
      </w:pPr>
      <w:r w:rsidRPr="00CF0C8B">
        <w:rPr>
          <w:rFonts w:ascii="Calibri" w:eastAsia="Calibri" w:hAnsi="Calibri" w:cs="Times New Roman"/>
        </w:rPr>
        <w:lastRenderedPageBreak/>
        <w:t>информация о результатах внутреннего  контроля;</w:t>
      </w:r>
    </w:p>
    <w:p w:rsidR="008B2212" w:rsidRPr="00CF0C8B" w:rsidRDefault="008B2212" w:rsidP="00AA3CC5">
      <w:pPr>
        <w:pStyle w:val="af0"/>
        <w:numPr>
          <w:ilvl w:val="0"/>
          <w:numId w:val="44"/>
        </w:numPr>
        <w:jc w:val="both"/>
        <w:rPr>
          <w:rFonts w:ascii="Calibri" w:eastAsia="Calibri" w:hAnsi="Calibri" w:cs="Times New Roman"/>
        </w:rPr>
      </w:pPr>
      <w:r w:rsidRPr="00CF0C8B">
        <w:rPr>
          <w:rFonts w:ascii="Calibri" w:eastAsia="Calibri" w:hAnsi="Calibri" w:cs="Times New Roman"/>
        </w:rPr>
        <w:t>принятие решений по итогам  рассмотрения результатов внутреннего контроля.</w:t>
      </w:r>
    </w:p>
    <w:p w:rsidR="008B2212" w:rsidRPr="00CF0C8B" w:rsidRDefault="008B2212" w:rsidP="00AA3CC5">
      <w:pPr>
        <w:pStyle w:val="a5"/>
        <w:spacing w:after="0" w:line="240" w:lineRule="auto"/>
        <w:ind w:left="284" w:hanging="284"/>
        <w:jc w:val="both"/>
      </w:pPr>
      <w:r w:rsidRPr="00CF0C8B">
        <w:t>3.3.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0C8B">
        <w:t>Квалификационные требования к специалистам службы внутреннего контроля (аудита).</w:t>
      </w:r>
    </w:p>
    <w:p w:rsidR="008B2212" w:rsidRPr="00CF0C8B" w:rsidRDefault="008B2212" w:rsidP="00AA3CC5">
      <w:pPr>
        <w:pStyle w:val="a5"/>
        <w:spacing w:after="0" w:line="240" w:lineRule="auto"/>
        <w:ind w:left="284" w:hanging="284"/>
        <w:jc w:val="both"/>
      </w:pPr>
      <w:r w:rsidRPr="00CF0C8B">
        <w:t>3.4.</w:t>
      </w:r>
      <w:r w:rsidR="00AA3CC5">
        <w:t xml:space="preserve"> </w:t>
      </w:r>
      <w:bookmarkStart w:id="0" w:name="_GoBack"/>
      <w:bookmarkEnd w:id="0"/>
      <w:r w:rsidRPr="00CF0C8B">
        <w:t>Административная ответственность за существенное искажение финансовой отчетности акционерного общества.</w:t>
      </w:r>
    </w:p>
    <w:p w:rsidR="0058106B" w:rsidRPr="001F5EAA" w:rsidRDefault="0058106B" w:rsidP="007C52B9">
      <w:pPr>
        <w:pStyle w:val="af0"/>
        <w:spacing w:before="120"/>
        <w:jc w:val="both"/>
        <w:rPr>
          <w:rFonts w:eastAsia="Calibri"/>
          <w:b/>
          <w:bCs/>
          <w:color w:val="C00000"/>
        </w:rPr>
      </w:pPr>
      <w:r w:rsidRPr="001F5EAA">
        <w:rPr>
          <w:rFonts w:eastAsia="Calibri"/>
          <w:bCs/>
          <w:color w:val="002060"/>
        </w:rPr>
        <w:t>Стоимость семинара</w:t>
      </w:r>
      <w:r w:rsidRPr="001F5EAA">
        <w:rPr>
          <w:rFonts w:eastAsia="Calibri"/>
          <w:b/>
          <w:bCs/>
          <w:color w:val="C00000"/>
        </w:rPr>
        <w:t xml:space="preserve"> – 2</w:t>
      </w:r>
      <w:r w:rsidR="009E5F91">
        <w:rPr>
          <w:rFonts w:eastAsia="Calibri"/>
          <w:b/>
          <w:bCs/>
          <w:color w:val="C00000"/>
        </w:rPr>
        <w:t>92</w:t>
      </w:r>
      <w:r w:rsidRPr="001F5EAA">
        <w:rPr>
          <w:rFonts w:eastAsia="Calibri"/>
          <w:b/>
          <w:bCs/>
          <w:color w:val="C00000"/>
        </w:rPr>
        <w:t>00 рублей.</w:t>
      </w:r>
    </w:p>
    <w:p w:rsidR="0058106B" w:rsidRDefault="0058106B" w:rsidP="0058106B">
      <w:pPr>
        <w:spacing w:after="0" w:line="240" w:lineRule="auto"/>
        <w:rPr>
          <w:rFonts w:asciiTheme="minorHAnsi" w:eastAsiaTheme="minorHAnsi" w:hAnsiTheme="minorHAnsi" w:cstheme="minorBidi"/>
          <w:b/>
          <w:bCs/>
          <w:color w:val="C00000"/>
        </w:rPr>
      </w:pPr>
      <w:r w:rsidRPr="005A00F8">
        <w:rPr>
          <w:rFonts w:asciiTheme="minorHAnsi" w:eastAsiaTheme="minorHAnsi" w:hAnsiTheme="minorHAnsi" w:cstheme="minorBidi"/>
          <w:bCs/>
          <w:color w:val="002060"/>
        </w:rPr>
        <w:t>Шифр семинара</w:t>
      </w:r>
      <w:r w:rsidRPr="001F5EAA">
        <w:rPr>
          <w:rFonts w:asciiTheme="minorHAnsi" w:eastAsiaTheme="minorHAnsi" w:hAnsiTheme="minorHAnsi" w:cstheme="minorBidi"/>
          <w:bCs/>
        </w:rPr>
        <w:t xml:space="preserve"> - </w:t>
      </w:r>
      <w:r w:rsidRPr="001F5EAA">
        <w:rPr>
          <w:rFonts w:asciiTheme="minorHAnsi" w:eastAsiaTheme="minorHAnsi" w:hAnsiTheme="minorHAnsi" w:cstheme="minorBidi"/>
          <w:b/>
          <w:bCs/>
          <w:color w:val="C00000"/>
        </w:rPr>
        <w:t>"ПДС-33</w:t>
      </w:r>
      <w:r w:rsidR="00132E80">
        <w:rPr>
          <w:rFonts w:asciiTheme="minorHAnsi" w:eastAsiaTheme="minorHAnsi" w:hAnsiTheme="minorHAnsi" w:cstheme="minorBidi"/>
          <w:b/>
          <w:bCs/>
          <w:color w:val="C00000"/>
        </w:rPr>
        <w:t>3</w:t>
      </w:r>
      <w:r w:rsidR="00F32669">
        <w:rPr>
          <w:rFonts w:asciiTheme="minorHAnsi" w:eastAsiaTheme="minorHAnsi" w:hAnsiTheme="minorHAnsi" w:cstheme="minorBidi"/>
          <w:b/>
          <w:bCs/>
          <w:color w:val="C00000"/>
        </w:rPr>
        <w:t>2</w:t>
      </w:r>
      <w:r w:rsidR="00CF0C8B">
        <w:rPr>
          <w:rFonts w:asciiTheme="minorHAnsi" w:eastAsiaTheme="minorHAnsi" w:hAnsiTheme="minorHAnsi" w:cstheme="minorBidi"/>
          <w:b/>
          <w:bCs/>
          <w:color w:val="C00000"/>
        </w:rPr>
        <w:t>4</w:t>
      </w:r>
      <w:r w:rsidRPr="001F5EAA">
        <w:rPr>
          <w:rFonts w:asciiTheme="minorHAnsi" w:eastAsiaTheme="minorHAnsi" w:hAnsiTheme="minorHAnsi" w:cstheme="minorBidi"/>
          <w:b/>
          <w:bCs/>
          <w:color w:val="C00000"/>
        </w:rPr>
        <w:t>".</w:t>
      </w:r>
    </w:p>
    <w:p w:rsidR="001F0921" w:rsidRDefault="001F0921" w:rsidP="0058106B">
      <w:pPr>
        <w:spacing w:after="0" w:line="240" w:lineRule="auto"/>
        <w:rPr>
          <w:rFonts w:asciiTheme="minorHAnsi" w:eastAsiaTheme="minorHAnsi" w:hAnsiTheme="minorHAnsi" w:cstheme="minorBidi"/>
          <w:b/>
          <w:bCs/>
          <w:color w:val="C00000"/>
        </w:rPr>
      </w:pPr>
    </w:p>
    <w:p w:rsidR="0058106B" w:rsidRPr="005A00F8" w:rsidRDefault="0058106B" w:rsidP="0058106B">
      <w:pPr>
        <w:pStyle w:val="a4"/>
        <w:spacing w:before="120" w:beforeAutospacing="0" w:after="0" w:afterAutospacing="0"/>
        <w:rPr>
          <w:rFonts w:asciiTheme="minorHAnsi" w:eastAsiaTheme="minorHAnsi" w:hAnsiTheme="minorHAnsi" w:cstheme="minorBidi"/>
          <w:b/>
          <w:bCs/>
          <w:color w:val="C00000"/>
          <w:sz w:val="22"/>
          <w:szCs w:val="22"/>
        </w:rPr>
      </w:pPr>
      <w:r w:rsidRPr="005A00F8">
        <w:rPr>
          <w:rFonts w:asciiTheme="minorHAnsi" w:eastAsiaTheme="minorHAnsi" w:hAnsiTheme="minorHAnsi" w:cstheme="minorBidi"/>
          <w:b/>
          <w:bCs/>
          <w:color w:val="C00000"/>
          <w:sz w:val="22"/>
          <w:szCs w:val="22"/>
        </w:rPr>
        <w:t>Слушателям будут выданы следующие документы:</w:t>
      </w:r>
    </w:p>
    <w:p w:rsidR="0058106B" w:rsidRPr="004014F3" w:rsidRDefault="0058106B" w:rsidP="0058106B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714" w:hanging="714"/>
        <w:jc w:val="both"/>
        <w:rPr>
          <w:rFonts w:asciiTheme="minorHAnsi" w:eastAsiaTheme="minorHAnsi" w:hAnsiTheme="minorHAnsi" w:cstheme="minorBidi"/>
          <w:bCs/>
          <w:color w:val="002060"/>
        </w:rPr>
      </w:pPr>
      <w:r w:rsidRPr="004014F3">
        <w:rPr>
          <w:rFonts w:asciiTheme="minorHAnsi" w:eastAsiaTheme="minorHAnsi" w:hAnsiTheme="minorHAnsi" w:cstheme="minorBidi"/>
          <w:bCs/>
          <w:color w:val="002060"/>
        </w:rPr>
        <w:t xml:space="preserve">договор; </w:t>
      </w:r>
    </w:p>
    <w:p w:rsidR="0058106B" w:rsidRPr="004014F3" w:rsidRDefault="0058106B" w:rsidP="0058106B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714" w:hanging="714"/>
        <w:jc w:val="both"/>
        <w:rPr>
          <w:rFonts w:asciiTheme="minorHAnsi" w:eastAsiaTheme="minorHAnsi" w:hAnsiTheme="minorHAnsi" w:cstheme="minorBidi"/>
          <w:bCs/>
          <w:color w:val="002060"/>
        </w:rPr>
      </w:pPr>
      <w:r w:rsidRPr="004014F3">
        <w:rPr>
          <w:rFonts w:asciiTheme="minorHAnsi" w:eastAsiaTheme="minorHAnsi" w:hAnsiTheme="minorHAnsi" w:cstheme="minorBidi"/>
          <w:bCs/>
          <w:color w:val="002060"/>
        </w:rPr>
        <w:t xml:space="preserve">акт выполненных работ; </w:t>
      </w:r>
    </w:p>
    <w:p w:rsidR="0058106B" w:rsidRPr="004014F3" w:rsidRDefault="0058106B" w:rsidP="0058106B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714" w:hanging="714"/>
        <w:jc w:val="both"/>
        <w:rPr>
          <w:rFonts w:asciiTheme="minorHAnsi" w:eastAsiaTheme="minorHAnsi" w:hAnsiTheme="minorHAnsi" w:cstheme="minorBidi"/>
          <w:bCs/>
          <w:color w:val="002060"/>
        </w:rPr>
      </w:pPr>
      <w:r w:rsidRPr="004014F3">
        <w:rPr>
          <w:rFonts w:asciiTheme="minorHAnsi" w:eastAsiaTheme="minorHAnsi" w:hAnsiTheme="minorHAnsi" w:cstheme="minorBidi"/>
          <w:bCs/>
          <w:color w:val="002060"/>
        </w:rPr>
        <w:t xml:space="preserve">копия лицензии на образовательную деятельность, </w:t>
      </w:r>
    </w:p>
    <w:p w:rsidR="0058106B" w:rsidRPr="004562AA" w:rsidRDefault="009E5F91" w:rsidP="004562AA">
      <w:pPr>
        <w:numPr>
          <w:ilvl w:val="0"/>
          <w:numId w:val="13"/>
        </w:numPr>
        <w:tabs>
          <w:tab w:val="clear" w:pos="720"/>
          <w:tab w:val="num" w:pos="284"/>
        </w:tabs>
        <w:spacing w:after="240" w:line="240" w:lineRule="auto"/>
        <w:ind w:left="714" w:hanging="714"/>
        <w:jc w:val="both"/>
        <w:rPr>
          <w:rFonts w:asciiTheme="minorHAnsi" w:eastAsiaTheme="minorHAnsi" w:hAnsiTheme="minorHAnsi" w:cstheme="minorBidi"/>
          <w:bCs/>
          <w:color w:val="002060"/>
        </w:rPr>
      </w:pPr>
      <w:r>
        <w:rPr>
          <w:rFonts w:asciiTheme="minorHAnsi" w:eastAsiaTheme="minorHAnsi" w:hAnsiTheme="minorHAnsi" w:cstheme="minorBidi"/>
          <w:bCs/>
          <w:color w:val="002060"/>
        </w:rPr>
        <w:t>удостоверение</w:t>
      </w:r>
      <w:r w:rsidR="0058106B" w:rsidRPr="004014F3">
        <w:rPr>
          <w:rFonts w:asciiTheme="minorHAnsi" w:eastAsiaTheme="minorHAnsi" w:hAnsiTheme="minorHAnsi" w:cstheme="minorBidi"/>
          <w:bCs/>
          <w:color w:val="002060"/>
        </w:rPr>
        <w:t>.    </w:t>
      </w:r>
      <w:r w:rsidR="0058106B" w:rsidRPr="004562AA">
        <w:rPr>
          <w:rFonts w:asciiTheme="minorHAnsi" w:eastAsiaTheme="minorHAnsi" w:hAnsiTheme="minorHAnsi" w:cstheme="minorBidi"/>
          <w:bCs/>
          <w:color w:val="002060"/>
        </w:rPr>
        <w:t>                 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9712"/>
      </w:tblGrid>
      <w:tr w:rsidR="0058106B" w:rsidRPr="00B915EC" w:rsidTr="000F5775">
        <w:trPr>
          <w:trHeight w:val="558"/>
        </w:trPr>
        <w:tc>
          <w:tcPr>
            <w:tcW w:w="9712" w:type="dxa"/>
            <w:shd w:val="clear" w:color="auto" w:fill="EEECE1" w:themeFill="background2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EECE1" w:themeFill="background2"/>
              <w:tblLayout w:type="fixed"/>
              <w:tblLook w:val="04A0" w:firstRow="1" w:lastRow="0" w:firstColumn="1" w:lastColumn="0" w:noHBand="0" w:noVBand="1"/>
            </w:tblPr>
            <w:tblGrid>
              <w:gridCol w:w="9712"/>
            </w:tblGrid>
            <w:tr w:rsidR="0058106B" w:rsidRPr="00B915EC" w:rsidTr="000F5775">
              <w:trPr>
                <w:trHeight w:val="997"/>
              </w:trPr>
              <w:tc>
                <w:tcPr>
                  <w:tcW w:w="9712" w:type="dxa"/>
                  <w:shd w:val="clear" w:color="auto" w:fill="EEECE1" w:themeFill="background2"/>
                </w:tcPr>
                <w:p w:rsidR="0058106B" w:rsidRDefault="0058106B" w:rsidP="000F5775">
                  <w:pPr>
                    <w:spacing w:after="0" w:line="240" w:lineRule="auto"/>
                    <w:rPr>
                      <w:noProof/>
                      <w:lang w:eastAsia="ru-RU"/>
                    </w:rPr>
                  </w:pPr>
                  <w:r w:rsidRPr="001F5EAA">
                    <w:rPr>
                      <w:rFonts w:asciiTheme="minorHAnsi" w:eastAsiaTheme="minorHAnsi" w:hAnsiTheme="minorHAnsi" w:cstheme="minorBidi"/>
                      <w:bCs/>
                    </w:rPr>
                    <w:t>         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A0FF18D" wp14:editId="70B26F7C">
                        <wp:extent cx="990000" cy="576000"/>
                        <wp:effectExtent l="19050" t="0" r="600" b="0"/>
                        <wp:docPr id="74" name="Рисунок 70" descr="Олимпийские объекты в Соч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Олимпийские объекты в Соч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86BC9E8" wp14:editId="2A2D854D">
                        <wp:extent cx="864000" cy="576000"/>
                        <wp:effectExtent l="19050" t="0" r="0" b="0"/>
                        <wp:docPr id="75" name="Рисунок 34" descr="http://sdelanounas.ru/i/z/m/ZmFybTkuc3RhdGljZmxpY2tyLmNvbS84NDg2LzgyMjY1MjY0NTZfNDViZWFiOTk3Zl9iLmpwZz9fX2lkPTI1Njc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sdelanounas.ru/i/z/m/ZmFybTkuc3RhdGljZmxpY2tyLmNvbS84NDg2LzgyMjY1MjY0NTZfNDViZWFiOTk3Zl9iLmpwZz9fX2lkPTI1Njc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4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F5FA168" wp14:editId="02BFE2BC">
                        <wp:extent cx="1011349" cy="576000"/>
                        <wp:effectExtent l="19050" t="0" r="0" b="0"/>
                        <wp:docPr id="76" name="Рисунок 40" descr="Керлинговый центр «Ледяной куб» в Сочи-20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Керлинговый центр «Ледяной куб» в Сочи-20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1349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669F282" wp14:editId="79891F25">
                        <wp:extent cx="895350" cy="574862"/>
                        <wp:effectExtent l="19050" t="0" r="0" b="0"/>
                        <wp:docPr id="77" name="Рисунок 67" descr="Олимпийские объекты в Соч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Олимпийские объекты в Соч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123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C7CCEF2" wp14:editId="7B1BE12B">
                        <wp:extent cx="895350" cy="576232"/>
                        <wp:effectExtent l="19050" t="0" r="0" b="0"/>
                        <wp:docPr id="78" name="Рисунок 64" descr="Олимпийские объекты в Соч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Олимпийские объекты в Соч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4989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79A24DB" wp14:editId="6F84D786">
                        <wp:extent cx="874165" cy="576000"/>
                        <wp:effectExtent l="19050" t="0" r="2135" b="0"/>
                        <wp:docPr id="79" name="Рисунок 73" descr="Олимпийские объекты в Соч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Олимпийские объекты в Соч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4165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8106B" w:rsidRPr="00B915EC" w:rsidTr="000F5775">
              <w:trPr>
                <w:trHeight w:val="558"/>
              </w:trPr>
              <w:tc>
                <w:tcPr>
                  <w:tcW w:w="9712" w:type="dxa"/>
                  <w:shd w:val="clear" w:color="auto" w:fill="EEECE1" w:themeFill="background2"/>
                </w:tcPr>
                <w:p w:rsidR="0058106B" w:rsidRPr="007F3B45" w:rsidRDefault="00416848" w:rsidP="000F5775">
                  <w:pPr>
                    <w:spacing w:after="0" w:line="240" w:lineRule="auto"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bCs/>
                      <w:color w:val="C00000"/>
                      <w:sz w:val="24"/>
                      <w:szCs w:val="24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41.75pt;height:17.25pt" fillcolor="#06c" strokecolor="#9cf" strokeweight="1.5pt">
                        <v:shadow on="t" color="#900"/>
                        <v:textpath style="font-family:&quot;Impact&quot;;font-size:18pt;v-text-kern:t" trim="t" fitpath="t" string="ЧЕМ  ПРИВЛЕКАТЕЛЬНА НАША  ПРОГРАММА  В СОЧИ?"/>
                      </v:shape>
                    </w:pict>
                  </w:r>
                </w:p>
              </w:tc>
            </w:tr>
            <w:tr w:rsidR="0058106B" w:rsidRPr="00B915EC" w:rsidTr="000F5775">
              <w:trPr>
                <w:trHeight w:val="991"/>
              </w:trPr>
              <w:tc>
                <w:tcPr>
                  <w:tcW w:w="9712" w:type="dxa"/>
                  <w:shd w:val="clear" w:color="auto" w:fill="EEECE1" w:themeFill="background2"/>
                </w:tcPr>
                <w:p w:rsidR="0058106B" w:rsidRDefault="0058106B" w:rsidP="000F5775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b/>
                      <w:bCs/>
                      <w:color w:val="C00000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64D1428" wp14:editId="660B32B2">
                        <wp:extent cx="990600" cy="575920"/>
                        <wp:effectExtent l="19050" t="0" r="0" b="0"/>
                        <wp:docPr id="94" name="Рисунок 94" descr="Олимпийские объекты в Соч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Олимпийские объекты в Соч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737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6A4D3A5" wp14:editId="0C5839E3">
                        <wp:extent cx="831850" cy="576424"/>
                        <wp:effectExtent l="19050" t="0" r="6350" b="0"/>
                        <wp:docPr id="97" name="Рисунок 97" descr="Олимпийские объекты в Соч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Олимпийские объекты в Соч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1237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FB15DE2" wp14:editId="426B6538">
                        <wp:extent cx="927100" cy="576431"/>
                        <wp:effectExtent l="19050" t="0" r="6350" b="0"/>
                        <wp:docPr id="100" name="Рисунок 100" descr="Олимпийские объекты в Соч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Олимпийские объекты в Соч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6407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D16DF13" wp14:editId="6178AB8D">
                        <wp:extent cx="882000" cy="576000"/>
                        <wp:effectExtent l="19050" t="0" r="0" b="0"/>
                        <wp:docPr id="103" name="Рисунок 103" descr="Сочи Олимпийские объект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Сочи Олимпийские объект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D5A1D48" wp14:editId="352243ED">
                        <wp:extent cx="901700" cy="576298"/>
                        <wp:effectExtent l="19050" t="0" r="0" b="0"/>
                        <wp:docPr id="106" name="Рисунок 106" descr="http://2014.info/files/vta_660x370_68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http://2014.info/files/vta_660x370_68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234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E949CCE" wp14:editId="26509681">
                        <wp:extent cx="880941" cy="576000"/>
                        <wp:effectExtent l="19050" t="0" r="0" b="0"/>
                        <wp:docPr id="109" name="Рисунок 109" descr="ФОТО: Вид на олимпийский Сочи с высоты птичьего полета&lt;a class=&quot;imgSrcCapS right&quot; target=&quot;_blank&quot; href=&quot;http://www.reuters.com/&quot;&gt;Reuters/Scanpix&lt;/a&g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ФОТО: Вид на олимпийский Сочи с высоты птичьего полета&lt;a class=&quot;imgSrcCapS right&quot; target=&quot;_blank&quot; href=&quot;http://www.reuters.com/&quot;&gt;Reuters/Scanpix&lt;/a&g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0941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8106B" w:rsidRPr="007F3B45" w:rsidRDefault="0058106B" w:rsidP="000F577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sz w:val="24"/>
                <w:szCs w:val="24"/>
              </w:rPr>
            </w:pPr>
          </w:p>
        </w:tc>
      </w:tr>
    </w:tbl>
    <w:p w:rsidR="0058106B" w:rsidRPr="00B915EC" w:rsidRDefault="0058106B" w:rsidP="0058106B">
      <w:pPr>
        <w:spacing w:before="120" w:after="0" w:line="240" w:lineRule="auto"/>
        <w:ind w:firstLine="567"/>
        <w:jc w:val="both"/>
        <w:rPr>
          <w:rFonts w:asciiTheme="minorHAnsi" w:eastAsiaTheme="minorHAnsi" w:hAnsiTheme="minorHAnsi" w:cstheme="minorBidi"/>
          <w:bCs/>
        </w:rPr>
      </w:pPr>
      <w:r w:rsidRPr="00B915EC">
        <w:rPr>
          <w:rFonts w:asciiTheme="minorHAnsi" w:eastAsiaTheme="minorHAnsi" w:hAnsiTheme="minorHAnsi" w:cstheme="minorBidi"/>
          <w:bCs/>
        </w:rPr>
        <w:t>Высокопрофессиональный лекторский состав, комфортабельные лекционные конференц-залы, возможность совместить обучение с отдыхом</w:t>
      </w:r>
      <w:r>
        <w:rPr>
          <w:rFonts w:asciiTheme="minorHAnsi" w:eastAsiaTheme="minorHAnsi" w:hAnsiTheme="minorHAnsi" w:cstheme="minorBidi"/>
          <w:bCs/>
        </w:rPr>
        <w:t>.</w:t>
      </w:r>
    </w:p>
    <w:p w:rsidR="0058106B" w:rsidRDefault="0058106B" w:rsidP="0058106B">
      <w:pPr>
        <w:spacing w:after="0" w:line="240" w:lineRule="auto"/>
        <w:ind w:firstLine="567"/>
        <w:jc w:val="both"/>
        <w:rPr>
          <w:rFonts w:asciiTheme="minorHAnsi" w:eastAsiaTheme="minorHAnsi" w:hAnsiTheme="minorHAnsi" w:cstheme="minorBidi"/>
          <w:bCs/>
        </w:rPr>
      </w:pPr>
      <w:r w:rsidRPr="00B915EC">
        <w:rPr>
          <w:rFonts w:asciiTheme="minorHAnsi" w:eastAsiaTheme="minorHAnsi" w:hAnsiTheme="minorHAnsi" w:cstheme="minorBidi"/>
          <w:bCs/>
        </w:rPr>
        <w:t>Мероприятия проводятся в форме семинаров-практикумов, тренингов, круглых столов.</w:t>
      </w:r>
    </w:p>
    <w:p w:rsidR="0058106B" w:rsidRPr="00B915EC" w:rsidRDefault="0058106B" w:rsidP="0058106B">
      <w:pPr>
        <w:spacing w:after="0" w:line="240" w:lineRule="auto"/>
        <w:ind w:firstLine="567"/>
        <w:jc w:val="both"/>
        <w:rPr>
          <w:rFonts w:asciiTheme="minorHAnsi" w:eastAsiaTheme="minorHAnsi" w:hAnsiTheme="minorHAnsi" w:cstheme="minorBidi"/>
          <w:bCs/>
        </w:rPr>
      </w:pPr>
    </w:p>
    <w:tbl>
      <w:tblPr>
        <w:tblStyle w:val="a6"/>
        <w:tblW w:w="0" w:type="auto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4"/>
        <w:gridCol w:w="6895"/>
        <w:gridCol w:w="15"/>
      </w:tblGrid>
      <w:tr w:rsidR="0058106B" w:rsidTr="000F5775">
        <w:tc>
          <w:tcPr>
            <w:tcW w:w="2624" w:type="dxa"/>
          </w:tcPr>
          <w:p w:rsidR="0058106B" w:rsidRPr="00B635D6" w:rsidRDefault="0058106B" w:rsidP="000F5775">
            <w:pPr>
              <w:spacing w:after="0" w:line="240" w:lineRule="auto"/>
              <w:ind w:hanging="39"/>
              <w:jc w:val="center"/>
              <w:rPr>
                <w:rFonts w:asciiTheme="minorHAnsi" w:eastAsiaTheme="minorHAnsi" w:hAnsiTheme="minorHAnsi" w:cstheme="minorBidi"/>
                <w:bCs/>
              </w:rPr>
            </w:pPr>
            <w:r w:rsidRPr="00805D88">
              <w:rPr>
                <w:rFonts w:asciiTheme="minorHAnsi" w:eastAsiaTheme="minorHAnsi" w:hAnsiTheme="minorHAnsi" w:cstheme="minorBidi"/>
                <w:bCs/>
                <w:noProof/>
                <w:lang w:eastAsia="ru-RU"/>
              </w:rPr>
              <w:drawing>
                <wp:inline distT="0" distB="0" distL="0" distR="0" wp14:anchorId="2C2170D1" wp14:editId="19F1B9FA">
                  <wp:extent cx="1581372" cy="1168841"/>
                  <wp:effectExtent l="0" t="0" r="0" b="0"/>
                  <wp:docPr id="46" name="Рисунок 134" descr="http://iskra-travel.ru/images/photos/medium/map39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iskra-travel.ru/images/photos/medium/map39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686" cy="1166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  <w:gridSpan w:val="2"/>
          </w:tcPr>
          <w:p w:rsidR="0058106B" w:rsidRPr="00B635D6" w:rsidRDefault="0058106B" w:rsidP="000F5775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Cs/>
              </w:rPr>
            </w:pPr>
            <w:proofErr w:type="gramStart"/>
            <w:r w:rsidRPr="00001066">
              <w:rPr>
                <w:rFonts w:asciiTheme="minorHAnsi" w:eastAsiaTheme="minorHAnsi" w:hAnsiTheme="minorHAnsi" w:cstheme="minorBidi"/>
                <w:b/>
                <w:bCs/>
                <w:color w:val="C00000"/>
                <w:sz w:val="24"/>
                <w:szCs w:val="24"/>
              </w:rPr>
              <w:t>ОТЕЛЬ «СОЧИ-БРИЗ</w:t>
            </w:r>
            <w:r w:rsidRPr="00001066">
              <w:rPr>
                <w:rFonts w:asciiTheme="minorHAnsi" w:eastAsiaTheme="minorHAnsi" w:hAnsiTheme="minorHAnsi" w:cstheme="minorBidi"/>
                <w:b/>
                <w:bCs/>
                <w:color w:val="002060"/>
                <w:sz w:val="24"/>
                <w:szCs w:val="24"/>
              </w:rPr>
              <w:t>»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 расположен в центре города Сочи, вблизи моря и уникального парка Дендрария и предлагает проживание в комфортабельных </w:t>
            </w:r>
            <w:r w:rsidRPr="006129EC">
              <w:rPr>
                <w:rFonts w:asciiTheme="minorHAnsi" w:eastAsiaTheme="minorHAnsi" w:hAnsiTheme="minorHAnsi" w:cstheme="minorBidi"/>
                <w:b/>
                <w:bCs/>
                <w:color w:val="C00000"/>
              </w:rPr>
              <w:t>ОДНОМЕСТНЫХ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номерах (с телевизором, кондиционером, телефоном, феном, мини-баром, радио, спутниковым TV), </w:t>
            </w:r>
            <w:r>
              <w:rPr>
                <w:rFonts w:asciiTheme="minorHAnsi" w:eastAsiaTheme="minorHAnsi" w:hAnsiTheme="minorHAnsi" w:cstheme="minorBidi"/>
                <w:bCs/>
              </w:rPr>
              <w:t>полупансион (завтрак/обед или завтрак/ужин по Вашему выбору)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 с разнообразием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блюд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«шведского стола»,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комплекс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парных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и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>контрастных купелей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 в SPA-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Центре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>.</w:t>
            </w:r>
            <w:proofErr w:type="gramEnd"/>
          </w:p>
        </w:tc>
      </w:tr>
      <w:tr w:rsidR="0058106B" w:rsidTr="000F5775">
        <w:tc>
          <w:tcPr>
            <w:tcW w:w="9534" w:type="dxa"/>
            <w:gridSpan w:val="3"/>
          </w:tcPr>
          <w:p w:rsidR="0058106B" w:rsidRDefault="0058106B" w:rsidP="000F5775">
            <w:pPr>
              <w:spacing w:after="0" w:line="240" w:lineRule="auto"/>
              <w:ind w:hanging="39"/>
              <w:jc w:val="both"/>
              <w:rPr>
                <w:rFonts w:asciiTheme="minorHAnsi" w:eastAsiaTheme="minorHAnsi" w:hAnsiTheme="minorHAnsi" w:cstheme="minorBidi"/>
                <w:bCs/>
              </w:rPr>
            </w:pPr>
          </w:p>
          <w:p w:rsidR="0058106B" w:rsidRPr="00001066" w:rsidRDefault="0058106B" w:rsidP="000F5775">
            <w:pPr>
              <w:spacing w:after="0" w:line="240" w:lineRule="auto"/>
              <w:ind w:hanging="39"/>
              <w:jc w:val="both"/>
              <w:rPr>
                <w:rFonts w:asciiTheme="minorHAnsi" w:eastAsiaTheme="minorHAnsi" w:hAnsiTheme="minorHAnsi" w:cstheme="minorBidi"/>
                <w:bCs/>
                <w:color w:val="002060"/>
              </w:rPr>
            </w:pPr>
            <w:r w:rsidRPr="00001066">
              <w:rPr>
                <w:rFonts w:asciiTheme="minorHAnsi" w:eastAsiaTheme="minorHAnsi" w:hAnsiTheme="minorHAnsi" w:cstheme="minorBidi"/>
                <w:b/>
                <w:bCs/>
                <w:color w:val="C00000"/>
              </w:rPr>
              <w:t>РАСЧЕТНЫЙ ЧАС – 12:00 час.</w:t>
            </w:r>
          </w:p>
          <w:p w:rsidR="0058106B" w:rsidRPr="00B915EC" w:rsidRDefault="0058106B" w:rsidP="000F5775">
            <w:pPr>
              <w:spacing w:after="0" w:line="240" w:lineRule="auto"/>
              <w:ind w:left="-39"/>
              <w:jc w:val="both"/>
              <w:rPr>
                <w:rFonts w:asciiTheme="minorHAnsi" w:eastAsiaTheme="minorHAnsi" w:hAnsiTheme="minorHAnsi" w:cstheme="minorBidi"/>
                <w:bCs/>
              </w:rPr>
            </w:pPr>
            <w:r w:rsidRPr="00D9350D">
              <w:rPr>
                <w:rFonts w:asciiTheme="minorHAnsi" w:eastAsiaTheme="minorHAnsi" w:hAnsiTheme="minorHAnsi" w:cstheme="minorBidi"/>
                <w:b/>
                <w:bCs/>
                <w:color w:val="C00000"/>
              </w:rPr>
              <w:t>АДРЕС</w:t>
            </w:r>
            <w:r w:rsidRPr="00355382">
              <w:rPr>
                <w:rFonts w:asciiTheme="minorHAnsi" w:eastAsiaTheme="minorHAnsi" w:hAnsiTheme="minorHAnsi" w:cstheme="minorBidi"/>
                <w:b/>
                <w:bCs/>
                <w:color w:val="002060"/>
              </w:rPr>
              <w:t>: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 Сочи, Курортный пр-т, д. 72. </w:t>
            </w:r>
          </w:p>
          <w:p w:rsidR="0058106B" w:rsidRPr="00B635D6" w:rsidRDefault="0058106B" w:rsidP="000F5775">
            <w:pPr>
              <w:spacing w:after="0" w:line="240" w:lineRule="auto"/>
              <w:ind w:left="-39"/>
              <w:jc w:val="both"/>
              <w:rPr>
                <w:rFonts w:asciiTheme="minorHAnsi" w:eastAsiaTheme="minorHAnsi" w:hAnsiTheme="minorHAnsi" w:cstheme="minorBidi"/>
                <w:bCs/>
              </w:rPr>
            </w:pPr>
            <w:r w:rsidRPr="00D9350D">
              <w:rPr>
                <w:rFonts w:asciiTheme="minorHAnsi" w:eastAsiaTheme="minorHAnsi" w:hAnsiTheme="minorHAnsi" w:cstheme="minorBidi"/>
                <w:b/>
                <w:bCs/>
                <w:color w:val="C00000"/>
              </w:rPr>
              <w:t>ПРОЕЗД:</w:t>
            </w:r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 от аэропорта Адлер (в сторону г. Сочи)  или </w:t>
            </w:r>
            <w:proofErr w:type="gramStart"/>
            <w:r w:rsidRPr="00B915EC">
              <w:rPr>
                <w:rFonts w:asciiTheme="minorHAnsi" w:eastAsiaTheme="minorHAnsi" w:hAnsiTheme="minorHAnsi" w:cstheme="minorBidi"/>
                <w:bCs/>
              </w:rPr>
              <w:t>от  ж</w:t>
            </w:r>
            <w:proofErr w:type="gramEnd"/>
            <w:r w:rsidRPr="00B915EC">
              <w:rPr>
                <w:rFonts w:asciiTheme="minorHAnsi" w:eastAsiaTheme="minorHAnsi" w:hAnsiTheme="minorHAnsi" w:cstheme="minorBidi"/>
                <w:bCs/>
              </w:rPr>
              <w:t xml:space="preserve">/д вокзала г. Сочи – маршрутным такси до остановки «Светлана». </w:t>
            </w:r>
          </w:p>
        </w:tc>
      </w:tr>
      <w:tr w:rsidR="0058106B" w:rsidRPr="001F5EAA" w:rsidTr="000F5775">
        <w:trPr>
          <w:gridAfter w:val="1"/>
          <w:wAfter w:w="15" w:type="dxa"/>
          <w:trHeight w:val="1795"/>
        </w:trPr>
        <w:tc>
          <w:tcPr>
            <w:tcW w:w="2624" w:type="dxa"/>
          </w:tcPr>
          <w:p w:rsidR="0058106B" w:rsidRPr="001F5EAA" w:rsidRDefault="0058106B" w:rsidP="000F5775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="Calibri" w:hAnsiTheme="minorHAnsi"/>
                <w:b/>
                <w:bCs/>
                <w:color w:val="C00000"/>
                <w:sz w:val="22"/>
                <w:szCs w:val="22"/>
                <w:vertAlign w:val="subscript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9785A33" wp14:editId="49294113">
                  <wp:extent cx="1518699" cy="1116011"/>
                  <wp:effectExtent l="0" t="0" r="0" b="0"/>
                  <wp:docPr id="7" name="Рисунок 7" descr="Отель Zhemchuzhina Hotel Complex в городе Сочи удобная бронировка, фотографии, обзор, исчерпывающее описание опц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Отель Zhemchuzhina Hotel Complex в городе Сочи удобная бронировка, фотографии, обзор, исчерпывающее описание опц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027" cy="1119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5" w:type="dxa"/>
            <w:vAlign w:val="center"/>
          </w:tcPr>
          <w:p w:rsidR="0058106B" w:rsidRPr="006A7C38" w:rsidRDefault="0058106B" w:rsidP="000F5775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color w:val="C00000"/>
              </w:rPr>
            </w:pPr>
            <w:r w:rsidRPr="00001066">
              <w:rPr>
                <w:rFonts w:asciiTheme="minorHAnsi" w:eastAsiaTheme="minorHAnsi" w:hAnsiTheme="minorHAnsi" w:cstheme="minorBidi"/>
                <w:b/>
                <w:bCs/>
                <w:color w:val="C00000"/>
                <w:sz w:val="24"/>
                <w:szCs w:val="24"/>
              </w:rPr>
              <w:t>ГРАНД-ОТЕЛЬ «ЖЕМЧУЖИНА»</w:t>
            </w:r>
            <w:r w:rsidRPr="00CC0D1B">
              <w:rPr>
                <w:rFonts w:asciiTheme="minorHAnsi" w:eastAsiaTheme="minorHAnsi" w:hAnsiTheme="minorHAnsi" w:cstheme="minorBidi"/>
                <w:bCs/>
              </w:rPr>
              <w:t xml:space="preserve"> расположен у самого Черного моря, в центральной части города Сочи и предлагает Вам размещение в комфортабельных </w:t>
            </w:r>
            <w:r w:rsidRPr="000941A3">
              <w:rPr>
                <w:rFonts w:asciiTheme="minorHAnsi" w:eastAsiaTheme="minorHAnsi" w:hAnsiTheme="minorHAnsi" w:cstheme="minorBidi"/>
                <w:b/>
                <w:bCs/>
                <w:color w:val="C00000"/>
              </w:rPr>
              <w:t>ОДНОМЕСТНЫХ</w:t>
            </w:r>
            <w:r w:rsidRPr="00CC0D1B">
              <w:rPr>
                <w:rFonts w:asciiTheme="minorHAnsi" w:eastAsiaTheme="minorHAnsi" w:hAnsiTheme="minorHAnsi" w:cstheme="minorBidi"/>
                <w:bCs/>
              </w:rPr>
              <w:t xml:space="preserve"> номерах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(с </w:t>
            </w:r>
            <w:r w:rsidRPr="00CC0D1B">
              <w:rPr>
                <w:rFonts w:asciiTheme="minorHAnsi" w:eastAsiaTheme="minorHAnsi" w:hAnsiTheme="minorHAnsi" w:cstheme="minorBidi"/>
                <w:bCs/>
              </w:rPr>
              <w:t>кондиционером, холодильником, сейфов</w:t>
            </w:r>
            <w:r>
              <w:rPr>
                <w:rFonts w:asciiTheme="minorHAnsi" w:eastAsiaTheme="minorHAnsi" w:hAnsiTheme="minorHAnsi" w:cstheme="minorBidi"/>
                <w:bCs/>
              </w:rPr>
              <w:t>ой</w:t>
            </w:r>
            <w:r w:rsidRPr="00CC0D1B">
              <w:rPr>
                <w:rFonts w:asciiTheme="minorHAnsi" w:eastAsiaTheme="minorHAnsi" w:hAnsiTheme="minorHAnsi" w:cstheme="minorBidi"/>
                <w:bCs/>
              </w:rPr>
              <w:t xml:space="preserve"> ячейк</w:t>
            </w:r>
            <w:r>
              <w:rPr>
                <w:rFonts w:asciiTheme="minorHAnsi" w:eastAsiaTheme="minorHAnsi" w:hAnsiTheme="minorHAnsi" w:cstheme="minorBidi"/>
                <w:bCs/>
              </w:rPr>
              <w:t>ой</w:t>
            </w:r>
            <w:r w:rsidRPr="00CC0D1B">
              <w:rPr>
                <w:rFonts w:asciiTheme="minorHAnsi" w:eastAsiaTheme="minorHAnsi" w:hAnsiTheme="minorHAnsi" w:cstheme="minorBidi"/>
                <w:bCs/>
              </w:rPr>
              <w:t>, незастекленным балконом</w:t>
            </w:r>
            <w:r>
              <w:rPr>
                <w:rFonts w:asciiTheme="minorHAnsi" w:eastAsiaTheme="minorHAnsi" w:hAnsiTheme="minorHAnsi" w:cstheme="minorBidi"/>
                <w:bCs/>
              </w:rPr>
              <w:t>), питание – завтрак.</w:t>
            </w:r>
            <w:r w:rsidRPr="00CC0D1B"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 w:rsidRPr="00CC0D1B">
              <w:rPr>
                <w:rFonts w:asciiTheme="minorHAnsi" w:eastAsiaTheme="minorHAnsi" w:hAnsiTheme="minorHAnsi" w:cstheme="minorBidi"/>
                <w:bCs/>
              </w:rPr>
              <w:t xml:space="preserve">«Жемчужина» окружена уникальной парковой зоной с тропическими растениями, рядом с которыми находится </w:t>
            </w:r>
          </w:p>
        </w:tc>
      </w:tr>
      <w:tr w:rsidR="0058106B" w:rsidRPr="001F5EAA" w:rsidTr="000F5775">
        <w:trPr>
          <w:gridAfter w:val="1"/>
          <w:wAfter w:w="15" w:type="dxa"/>
          <w:trHeight w:val="70"/>
        </w:trPr>
        <w:tc>
          <w:tcPr>
            <w:tcW w:w="9519" w:type="dxa"/>
            <w:gridSpan w:val="2"/>
          </w:tcPr>
          <w:p w:rsidR="0058106B" w:rsidRPr="00001066" w:rsidRDefault="0058106B" w:rsidP="000F5775">
            <w:pPr>
              <w:pStyle w:val="a4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</w:pPr>
            <w:r w:rsidRPr="00001066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Зимний театр, сочинский цирк, концертный зал «Фестивальный», ботанический парк «Дендрарий», музеи и театры.</w:t>
            </w:r>
          </w:p>
          <w:p w:rsidR="0058106B" w:rsidRPr="00001066" w:rsidRDefault="0058106B" w:rsidP="000F5775">
            <w:pPr>
              <w:spacing w:after="0" w:line="240" w:lineRule="auto"/>
              <w:ind w:hanging="39"/>
              <w:jc w:val="both"/>
              <w:rPr>
                <w:rFonts w:asciiTheme="minorHAnsi" w:eastAsiaTheme="minorHAnsi" w:hAnsiTheme="minorHAnsi" w:cstheme="minorBidi"/>
                <w:bCs/>
                <w:color w:val="002060"/>
              </w:rPr>
            </w:pPr>
            <w:r w:rsidRPr="00001066">
              <w:rPr>
                <w:rFonts w:asciiTheme="minorHAnsi" w:eastAsiaTheme="minorHAnsi" w:hAnsiTheme="minorHAnsi" w:cstheme="minorBidi"/>
                <w:b/>
                <w:bCs/>
                <w:color w:val="C00000"/>
              </w:rPr>
              <w:t>РАСЧЕТНЫЙ ЧАС – 12:00 час.</w:t>
            </w:r>
          </w:p>
          <w:p w:rsidR="0058106B" w:rsidRPr="00001066" w:rsidRDefault="0058106B" w:rsidP="000F5775">
            <w:pPr>
              <w:spacing w:after="0" w:line="240" w:lineRule="auto"/>
              <w:ind w:left="-39"/>
              <w:jc w:val="both"/>
              <w:rPr>
                <w:rFonts w:asciiTheme="minorHAnsi" w:eastAsiaTheme="minorHAnsi" w:hAnsiTheme="minorHAnsi" w:cstheme="minorBidi"/>
                <w:bCs/>
              </w:rPr>
            </w:pPr>
            <w:r w:rsidRPr="00001066">
              <w:rPr>
                <w:rFonts w:asciiTheme="minorHAnsi" w:eastAsiaTheme="minorHAnsi" w:hAnsiTheme="minorHAnsi" w:cstheme="minorBidi"/>
                <w:b/>
                <w:bCs/>
                <w:color w:val="C00000"/>
              </w:rPr>
              <w:lastRenderedPageBreak/>
              <w:t>АДРЕС</w:t>
            </w:r>
            <w:r w:rsidRPr="00001066">
              <w:rPr>
                <w:rFonts w:asciiTheme="minorHAnsi" w:eastAsiaTheme="minorHAnsi" w:hAnsiTheme="minorHAnsi" w:cstheme="minorBidi"/>
                <w:b/>
                <w:bCs/>
                <w:color w:val="002060"/>
              </w:rPr>
              <w:t>:</w:t>
            </w:r>
            <w:r w:rsidRPr="00001066">
              <w:rPr>
                <w:rFonts w:asciiTheme="minorHAnsi" w:eastAsiaTheme="minorHAnsi" w:hAnsiTheme="minorHAnsi" w:cstheme="minorBidi"/>
                <w:bCs/>
              </w:rPr>
              <w:t xml:space="preserve"> Сочи, ул. </w:t>
            </w:r>
            <w:proofErr w:type="gramStart"/>
            <w:r w:rsidRPr="00001066">
              <w:rPr>
                <w:rFonts w:asciiTheme="minorHAnsi" w:eastAsiaTheme="minorHAnsi" w:hAnsiTheme="minorHAnsi" w:cstheme="minorBidi"/>
                <w:bCs/>
              </w:rPr>
              <w:t>Черноморская</w:t>
            </w:r>
            <w:proofErr w:type="gramEnd"/>
            <w:r w:rsidRPr="00001066">
              <w:rPr>
                <w:rFonts w:asciiTheme="minorHAnsi" w:eastAsiaTheme="minorHAnsi" w:hAnsiTheme="minorHAnsi" w:cstheme="minorBidi"/>
                <w:bCs/>
              </w:rPr>
              <w:t xml:space="preserve">, 3. </w:t>
            </w:r>
          </w:p>
          <w:p w:rsidR="0058106B" w:rsidRPr="00001066" w:rsidRDefault="0058106B" w:rsidP="009E5F91">
            <w:pPr>
              <w:pStyle w:val="a4"/>
              <w:spacing w:before="0" w:beforeAutospacing="0" w:after="240" w:afterAutospacing="0"/>
              <w:ind w:hanging="34"/>
              <w:rPr>
                <w:rFonts w:asciiTheme="minorHAnsi" w:eastAsia="Calibri" w:hAnsiTheme="minorHAnsi"/>
                <w:bCs/>
                <w:sz w:val="22"/>
                <w:szCs w:val="22"/>
                <w:lang w:eastAsia="en-US"/>
              </w:rPr>
            </w:pPr>
            <w:r w:rsidRPr="00001066">
              <w:rPr>
                <w:rFonts w:asciiTheme="minorHAnsi" w:eastAsiaTheme="minorHAnsi" w:hAnsiTheme="minorHAnsi" w:cstheme="minorBidi"/>
                <w:b/>
                <w:bCs/>
                <w:color w:val="C00000"/>
                <w:sz w:val="22"/>
                <w:szCs w:val="22"/>
              </w:rPr>
              <w:t>ПРОЕЗД:</w:t>
            </w:r>
            <w:r w:rsidRPr="00001066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 xml:space="preserve"> от аэропорта Адлер (в сторону г. Сочи)  или </w:t>
            </w:r>
            <w:proofErr w:type="gramStart"/>
            <w:r w:rsidRPr="00001066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от  ж</w:t>
            </w:r>
            <w:proofErr w:type="gramEnd"/>
            <w:r w:rsidRPr="00001066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/д вокзала г. Сочи – маршрутным такси до остановки «Театральная».</w:t>
            </w:r>
          </w:p>
        </w:tc>
      </w:tr>
    </w:tbl>
    <w:p w:rsidR="0058106B" w:rsidRPr="00001066" w:rsidRDefault="0058106B" w:rsidP="004562AA">
      <w:pPr>
        <w:spacing w:after="0" w:line="240" w:lineRule="auto"/>
        <w:rPr>
          <w:rFonts w:asciiTheme="minorHAnsi" w:hAnsiTheme="minorHAnsi"/>
          <w:b/>
          <w:bCs/>
          <w:color w:val="002060"/>
        </w:rPr>
      </w:pPr>
      <w:r w:rsidRPr="00001066">
        <w:rPr>
          <w:rFonts w:asciiTheme="minorHAnsi" w:hAnsiTheme="minorHAnsi"/>
          <w:b/>
          <w:bCs/>
          <w:color w:val="002060"/>
        </w:rPr>
        <w:lastRenderedPageBreak/>
        <w:t>СТОИМОСТЬ ПРОЖИВАНИЯ: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7660"/>
      </w:tblGrid>
      <w:tr w:rsidR="0058106B" w:rsidRPr="001F5EAA" w:rsidTr="000F5775">
        <w:tc>
          <w:tcPr>
            <w:tcW w:w="1946" w:type="dxa"/>
          </w:tcPr>
          <w:p w:rsidR="0058106B" w:rsidRPr="001F5EAA" w:rsidRDefault="0058106B" w:rsidP="000F5775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="Calibri" w:hAnsiTheme="minorHAnsi"/>
                <w:b/>
                <w:bCs/>
                <w:color w:val="C00000"/>
                <w:sz w:val="22"/>
                <w:szCs w:val="22"/>
                <w:vertAlign w:val="subscript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FB0C2B" wp14:editId="080E83DF">
                  <wp:extent cx="1099165" cy="818985"/>
                  <wp:effectExtent l="0" t="0" r="0" b="0"/>
                  <wp:docPr id="39" name="Рисунок 15" descr="http://i1.2photo.ru/medium/0/l/253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1.2photo.ru/medium/0/l/253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06919" cy="824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0" w:type="dxa"/>
            <w:vAlign w:val="center"/>
          </w:tcPr>
          <w:p w:rsidR="0058106B" w:rsidRPr="00001066" w:rsidRDefault="0058106B" w:rsidP="000F5775">
            <w:pPr>
              <w:pStyle w:val="a4"/>
              <w:spacing w:before="0" w:beforeAutospacing="0" w:after="0" w:afterAutospacing="0"/>
              <w:ind w:left="39"/>
              <w:jc w:val="both"/>
              <w:rPr>
                <w:rFonts w:asciiTheme="minorHAnsi" w:eastAsia="Calibri" w:hAnsiTheme="minorHAnsi"/>
                <w:bCs/>
                <w:sz w:val="22"/>
                <w:szCs w:val="22"/>
                <w:lang w:eastAsia="en-US"/>
              </w:rPr>
            </w:pPr>
            <w:r w:rsidRPr="00001066">
              <w:rPr>
                <w:rFonts w:asciiTheme="minorHAnsi" w:eastAsia="Calibri" w:hAnsiTheme="minorHAnsi"/>
                <w:bCs/>
                <w:sz w:val="22"/>
                <w:szCs w:val="22"/>
                <w:lang w:eastAsia="en-US"/>
              </w:rPr>
              <w:t>Стоимость проживания зависит от выбранного Вами отеля и даты заезда. Наши менеджеры с удовольствием проконсультируют Вас по вопросам проживания и предложат самый оптимальный вариант для Вас и Ваших близких. Если Вы едете с сопровождающими, мы закажем Вам  двухместное размещение.</w:t>
            </w:r>
          </w:p>
        </w:tc>
      </w:tr>
    </w:tbl>
    <w:p w:rsidR="0058106B" w:rsidRPr="001F5EAA" w:rsidRDefault="0058106B" w:rsidP="0058106B">
      <w:pPr>
        <w:pStyle w:val="a4"/>
        <w:spacing w:before="240" w:beforeAutospacing="0" w:after="0" w:afterAutospacing="0"/>
        <w:rPr>
          <w:rFonts w:asciiTheme="minorHAnsi" w:eastAsia="Calibri" w:hAnsiTheme="minorHAnsi"/>
          <w:b/>
          <w:bCs/>
          <w:color w:val="002060"/>
          <w:sz w:val="22"/>
          <w:szCs w:val="22"/>
          <w:lang w:eastAsia="en-US"/>
        </w:rPr>
      </w:pPr>
      <w:r w:rsidRPr="001F5EAA">
        <w:rPr>
          <w:rFonts w:asciiTheme="minorHAnsi" w:eastAsia="Calibri" w:hAnsiTheme="minorHAnsi"/>
          <w:b/>
          <w:bCs/>
          <w:color w:val="002060"/>
          <w:sz w:val="22"/>
          <w:szCs w:val="22"/>
          <w:lang w:eastAsia="en-US"/>
        </w:rPr>
        <w:t>ДОПОЛНИТЕЛЬНЫЕ БОНУСЫ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7628"/>
      </w:tblGrid>
      <w:tr w:rsidR="0058106B" w:rsidRPr="001F5EAA" w:rsidTr="000F5775">
        <w:tc>
          <w:tcPr>
            <w:tcW w:w="1836" w:type="dxa"/>
          </w:tcPr>
          <w:p w:rsidR="0058106B" w:rsidRPr="001F5EAA" w:rsidRDefault="0058106B" w:rsidP="000F5775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="Calibri" w:hAnsiTheme="minorHAnsi"/>
                <w:b/>
                <w:bCs/>
                <w:color w:val="C00000"/>
                <w:sz w:val="22"/>
                <w:szCs w:val="22"/>
                <w:vertAlign w:val="subscript"/>
                <w:lang w:eastAsia="en-US"/>
              </w:rPr>
            </w:pPr>
            <w:r w:rsidRPr="001F5EAA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061EB968" wp14:editId="63BB799C">
                  <wp:extent cx="590550" cy="588581"/>
                  <wp:effectExtent l="19050" t="0" r="0" b="0"/>
                  <wp:docPr id="191" name="Рисунок 191" descr="http://ligir.ru/files/liggirkadppua/image/pl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ligir.ru/files/liggirkadppua/image/pl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8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8" w:type="dxa"/>
            <w:vAlign w:val="center"/>
          </w:tcPr>
          <w:p w:rsidR="0058106B" w:rsidRPr="001F5EAA" w:rsidRDefault="0058106B" w:rsidP="000F5775">
            <w:pPr>
              <w:pStyle w:val="a5"/>
              <w:numPr>
                <w:ilvl w:val="0"/>
                <w:numId w:val="21"/>
              </w:numPr>
              <w:spacing w:before="120" w:after="0" w:line="240" w:lineRule="auto"/>
              <w:ind w:left="291" w:hanging="284"/>
              <w:rPr>
                <w:rFonts w:asciiTheme="minorHAnsi" w:hAnsiTheme="minorHAnsi"/>
                <w:b/>
                <w:color w:val="C00000"/>
              </w:rPr>
            </w:pPr>
            <w:r w:rsidRPr="001F5EAA">
              <w:rPr>
                <w:rFonts w:asciiTheme="minorHAnsi" w:hAnsiTheme="minorHAnsi"/>
              </w:rPr>
              <w:t xml:space="preserve">Аттестованным профессиональным бухгалтерам  выдается </w:t>
            </w:r>
            <w:r w:rsidRPr="001F5EAA">
              <w:rPr>
                <w:rFonts w:asciiTheme="minorHAnsi" w:hAnsiTheme="minorHAnsi"/>
                <w:b/>
                <w:color w:val="C00000"/>
              </w:rPr>
              <w:t>сертификат на 40 часов.</w:t>
            </w:r>
          </w:p>
          <w:p w:rsidR="0058106B" w:rsidRPr="001F5EAA" w:rsidRDefault="0058106B" w:rsidP="004562AA">
            <w:pPr>
              <w:pStyle w:val="a5"/>
              <w:spacing w:before="120" w:after="0" w:line="240" w:lineRule="auto"/>
              <w:ind w:left="291"/>
              <w:rPr>
                <w:rFonts w:asciiTheme="minorHAnsi" w:hAnsiTheme="minorHAnsi"/>
                <w:b/>
                <w:color w:val="C00000"/>
              </w:rPr>
            </w:pPr>
          </w:p>
        </w:tc>
      </w:tr>
    </w:tbl>
    <w:p w:rsidR="0058106B" w:rsidRPr="001F5EAA" w:rsidRDefault="0058106B" w:rsidP="0058106B">
      <w:pPr>
        <w:pStyle w:val="a4"/>
        <w:spacing w:before="240" w:beforeAutospacing="0" w:after="0" w:afterAutospacing="0"/>
        <w:rPr>
          <w:rFonts w:asciiTheme="minorHAnsi" w:eastAsia="Calibri" w:hAnsiTheme="minorHAnsi"/>
          <w:b/>
          <w:bCs/>
          <w:color w:val="002060"/>
          <w:sz w:val="22"/>
          <w:szCs w:val="22"/>
          <w:lang w:eastAsia="en-US"/>
        </w:rPr>
      </w:pPr>
      <w:r w:rsidRPr="001F5EAA">
        <w:rPr>
          <w:rFonts w:asciiTheme="minorHAnsi" w:eastAsia="Calibri" w:hAnsiTheme="minorHAnsi"/>
          <w:b/>
          <w:bCs/>
          <w:color w:val="002060"/>
          <w:sz w:val="22"/>
          <w:szCs w:val="22"/>
          <w:lang w:eastAsia="en-US"/>
        </w:rPr>
        <w:t>СКИДКИ: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7650"/>
      </w:tblGrid>
      <w:tr w:rsidR="0058106B" w:rsidRPr="001F5EAA" w:rsidTr="000F5775">
        <w:tc>
          <w:tcPr>
            <w:tcW w:w="1956" w:type="dxa"/>
          </w:tcPr>
          <w:p w:rsidR="0058106B" w:rsidRPr="001F5EAA" w:rsidRDefault="0058106B" w:rsidP="000F5775">
            <w:pPr>
              <w:pStyle w:val="a4"/>
              <w:spacing w:before="0" w:beforeAutospacing="0" w:after="0" w:afterAutospacing="0"/>
              <w:rPr>
                <w:rFonts w:asciiTheme="minorHAnsi" w:eastAsia="Calibri" w:hAnsiTheme="minorHAnsi"/>
                <w:b/>
                <w:bCs/>
                <w:color w:val="C00000"/>
                <w:sz w:val="22"/>
                <w:szCs w:val="22"/>
                <w:lang w:eastAsia="en-US"/>
              </w:rPr>
            </w:pPr>
            <w:r w:rsidRPr="001F5EAA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43030F51" wp14:editId="676F7BBA">
                  <wp:extent cx="876300" cy="576753"/>
                  <wp:effectExtent l="19050" t="0" r="0" b="0"/>
                  <wp:docPr id="27" name="Рисунок 23" descr="Замечательные растровые клипарты скидок в магазин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Замечательные растровые клипарты скидок в магазин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190" cy="576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vAlign w:val="center"/>
          </w:tcPr>
          <w:p w:rsidR="0058106B" w:rsidRPr="00620454" w:rsidRDefault="0058106B" w:rsidP="000F5775">
            <w:pPr>
              <w:pStyle w:val="a4"/>
              <w:shd w:val="clear" w:color="auto" w:fill="FFFFFF"/>
              <w:spacing w:before="94" w:beforeAutospacing="0" w:after="94" w:afterAutospacing="0"/>
              <w:jc w:val="both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1F5EAA">
              <w:rPr>
                <w:rFonts w:asciiTheme="minorHAnsi" w:eastAsiaTheme="minorHAnsi" w:hAnsiTheme="minorHAnsi" w:cstheme="minorBidi"/>
                <w:b/>
                <w:bCs/>
                <w:color w:val="C00000"/>
                <w:sz w:val="22"/>
                <w:szCs w:val="22"/>
              </w:rPr>
              <w:t>ВНИМАНИЕ!</w:t>
            </w:r>
            <w:r w:rsidRPr="001F5EAA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 xml:space="preserve"> Для корпоративных клиентов</w:t>
            </w:r>
            <w:r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,</w:t>
            </w:r>
            <w:r w:rsidRPr="001F5EAA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 xml:space="preserve"> </w:t>
            </w:r>
            <w:r w:rsidRPr="004D459C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постоянных слушателей и организаци</w:t>
            </w:r>
            <w:r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й</w:t>
            </w:r>
            <w:r w:rsidRPr="004D459C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, направляющ</w:t>
            </w:r>
            <w:r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их</w:t>
            </w:r>
            <w:r w:rsidRPr="004D459C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 xml:space="preserve"> 2-х и более слушателей на один семинар</w:t>
            </w:r>
            <w:r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,</w:t>
            </w:r>
            <w:r w:rsidRPr="001F5EAA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 xml:space="preserve"> действуют гибкая система скидок и льготные условия оплаты. Если Вы знаете специалистов, заинтересованных в участии в наших мероприятиях, возьмите их с собой и получите дополнительную  скидку.</w:t>
            </w:r>
            <w:r>
              <w:rPr>
                <w:rFonts w:ascii="Arial" w:hAnsi="Arial" w:cs="Arial"/>
                <w:color w:val="565656"/>
                <w:sz w:val="13"/>
                <w:szCs w:val="13"/>
              </w:rPr>
              <w:t xml:space="preserve"> </w:t>
            </w:r>
          </w:p>
        </w:tc>
      </w:tr>
    </w:tbl>
    <w:p w:rsidR="0058106B" w:rsidRDefault="0058106B" w:rsidP="0058106B">
      <w:pPr>
        <w:spacing w:after="240" w:line="240" w:lineRule="auto"/>
        <w:ind w:left="181"/>
        <w:jc w:val="center"/>
        <w:rPr>
          <w:rFonts w:asciiTheme="minorHAnsi" w:eastAsiaTheme="minorHAnsi" w:hAnsiTheme="minorHAnsi" w:cstheme="minorBidi"/>
          <w:b/>
          <w:bCs/>
          <w:color w:val="002060"/>
        </w:rPr>
      </w:pPr>
      <w:r w:rsidRPr="00341809">
        <w:rPr>
          <w:rFonts w:asciiTheme="minorHAnsi" w:eastAsiaTheme="minorHAnsi" w:hAnsiTheme="minorHAnsi" w:cstheme="minorBidi"/>
          <w:b/>
          <w:bCs/>
          <w:color w:val="C00000"/>
          <w:sz w:val="24"/>
          <w:szCs w:val="24"/>
        </w:rPr>
        <w:t>МЫ ВСЕГДА РАДЫ ВСТРЕЧЕ С ВАМИ И ГОТОВЫ РАБОТАТЬ ДЛЯ ВАШЕГО УСПЕХА.   </w:t>
      </w:r>
    </w:p>
    <w:p w:rsidR="00B915EC" w:rsidRPr="00B915EC" w:rsidRDefault="00B915EC" w:rsidP="00B404C4">
      <w:pPr>
        <w:jc w:val="center"/>
        <w:rPr>
          <w:rFonts w:asciiTheme="minorHAnsi" w:eastAsiaTheme="minorHAnsi" w:hAnsiTheme="minorHAnsi" w:cstheme="minorBidi"/>
          <w:bCs/>
        </w:rPr>
      </w:pPr>
    </w:p>
    <w:sectPr w:rsidR="00B915EC" w:rsidRPr="00B915EC" w:rsidSect="001B3AFB">
      <w:headerReference w:type="default" r:id="rId29"/>
      <w:footnotePr>
        <w:numFmt w:val="chicago"/>
      </w:footnotePr>
      <w:pgSz w:w="11906" w:h="16838"/>
      <w:pgMar w:top="1701" w:right="850" w:bottom="1134" w:left="1560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848" w:rsidRDefault="00416848">
      <w:pPr>
        <w:spacing w:after="0" w:line="240" w:lineRule="auto"/>
      </w:pPr>
      <w:r>
        <w:separator/>
      </w:r>
    </w:p>
  </w:endnote>
  <w:endnote w:type="continuationSeparator" w:id="0">
    <w:p w:rsidR="00416848" w:rsidRDefault="0041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848" w:rsidRDefault="00416848">
      <w:pPr>
        <w:spacing w:after="0" w:line="240" w:lineRule="auto"/>
      </w:pPr>
      <w:r>
        <w:separator/>
      </w:r>
    </w:p>
  </w:footnote>
  <w:footnote w:type="continuationSeparator" w:id="0">
    <w:p w:rsidR="00416848" w:rsidRDefault="00416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157"/>
      <w:gridCol w:w="7555"/>
    </w:tblGrid>
    <w:tr w:rsidR="005065B0" w:rsidTr="00725295">
      <w:trPr>
        <w:trHeight w:val="844"/>
      </w:trPr>
      <w:tc>
        <w:tcPr>
          <w:tcW w:w="2157" w:type="dxa"/>
          <w:shd w:val="clear" w:color="auto" w:fill="auto"/>
        </w:tcPr>
        <w:p w:rsidR="005065B0" w:rsidRDefault="005065B0" w:rsidP="00725295">
          <w:pPr>
            <w:spacing w:after="0" w:line="240" w:lineRule="auto"/>
          </w:pPr>
          <w:r>
            <w:rPr>
              <w:noProof/>
              <w:lang w:eastAsia="ru-RU"/>
            </w:rPr>
            <w:drawing>
              <wp:inline distT="0" distB="0" distL="0" distR="0" wp14:anchorId="2B0377AD" wp14:editId="3F12FBD8">
                <wp:extent cx="1228725" cy="619125"/>
                <wp:effectExtent l="0" t="0" r="0" b="0"/>
                <wp:docPr id="1" name="Рисунок 1" descr="logo169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logo169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5" w:type="dxa"/>
          <w:shd w:val="clear" w:color="auto" w:fill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696"/>
            <w:gridCol w:w="3643"/>
          </w:tblGrid>
          <w:tr w:rsidR="005065B0" w:rsidRPr="00AA67AC" w:rsidTr="00725295">
            <w:trPr>
              <w:trHeight w:val="384"/>
            </w:trPr>
            <w:tc>
              <w:tcPr>
                <w:tcW w:w="3803" w:type="dxa"/>
                <w:shd w:val="clear" w:color="auto" w:fill="auto"/>
              </w:tcPr>
              <w:p w:rsidR="005065B0" w:rsidRPr="00AA67AC" w:rsidRDefault="005065B0" w:rsidP="00725295">
                <w:pPr>
                  <w:pStyle w:val="2"/>
                  <w:spacing w:before="0"/>
                  <w:rPr>
                    <w:rFonts w:ascii="Times New Roman" w:hAnsi="Times New Roman"/>
                    <w:b w:val="0"/>
                    <w:bCs w:val="0"/>
                    <w:color w:val="000000"/>
                    <w:sz w:val="27"/>
                    <w:szCs w:val="27"/>
                    <w:shd w:val="clear" w:color="auto" w:fill="FFFFFF"/>
                  </w:rPr>
                </w:pPr>
                <w:r w:rsidRPr="00AA67AC">
                  <w:rPr>
                    <w:rFonts w:ascii="Times New Roman" w:hAnsi="Times New Roman"/>
                    <w:color w:val="000000"/>
                  </w:rPr>
                  <w:t>Центральный Дом знаний</w:t>
                </w:r>
              </w:p>
            </w:tc>
            <w:tc>
              <w:tcPr>
                <w:tcW w:w="3804" w:type="dxa"/>
                <w:shd w:val="clear" w:color="auto" w:fill="auto"/>
              </w:tcPr>
              <w:p w:rsidR="005065B0" w:rsidRPr="00AA67AC" w:rsidRDefault="005065B0" w:rsidP="00725295">
                <w:pPr>
                  <w:pStyle w:val="2"/>
                  <w:spacing w:before="0"/>
                  <w:jc w:val="center"/>
                  <w:rPr>
                    <w:rFonts w:ascii="Arial" w:hAnsi="Arial" w:cs="Arial"/>
                    <w:bCs w:val="0"/>
                    <w:color w:val="000000"/>
                    <w:sz w:val="27"/>
                    <w:szCs w:val="27"/>
                    <w:shd w:val="clear" w:color="auto" w:fill="FFFFFF"/>
                  </w:rPr>
                </w:pPr>
                <w:r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 xml:space="preserve">                </w:t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>(+7 495) 632-28-85 (Москва)</w:t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</w:rPr>
                  <w:br/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>(+7 965) 431-93-18</w:t>
                </w:r>
              </w:p>
            </w:tc>
          </w:tr>
        </w:tbl>
        <w:p w:rsidR="005065B0" w:rsidRPr="000318A7" w:rsidRDefault="005065B0" w:rsidP="00725295">
          <w:pPr>
            <w:pStyle w:val="3"/>
            <w:shd w:val="clear" w:color="auto" w:fill="FFFFFF"/>
            <w:spacing w:before="0"/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</w:pPr>
          <w:r w:rsidRPr="000318A7"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  <w:t xml:space="preserve">  </w:t>
          </w:r>
          <w:proofErr w:type="gramStart"/>
          <w:r w:rsidRPr="000318A7"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  <w:t>Основан</w:t>
          </w:r>
          <w:proofErr w:type="gramEnd"/>
          <w:r w:rsidRPr="000318A7"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  <w:t xml:space="preserve"> в 1922 году</w:t>
          </w:r>
        </w:p>
        <w:p w:rsidR="005065B0" w:rsidRPr="00310923" w:rsidRDefault="005065B0" w:rsidP="00725295">
          <w:pPr>
            <w:spacing w:after="0" w:line="240" w:lineRule="auto"/>
          </w:pPr>
          <w:r w:rsidRPr="000318A7">
            <w:rPr>
              <w:rFonts w:ascii="Arial" w:hAnsi="Arial" w:cs="Arial"/>
              <w:color w:val="000000"/>
              <w:sz w:val="12"/>
              <w:szCs w:val="17"/>
            </w:rPr>
            <w:t xml:space="preserve">   Лицензия Департамента образования города Москвы </w:t>
          </w:r>
          <w:proofErr w:type="gramStart"/>
          <w:r w:rsidRPr="000318A7">
            <w:rPr>
              <w:rFonts w:ascii="Arial" w:hAnsi="Arial" w:cs="Arial"/>
              <w:color w:val="000000"/>
              <w:sz w:val="12"/>
              <w:szCs w:val="17"/>
            </w:rPr>
            <w:t>регистрационный</w:t>
          </w:r>
          <w:proofErr w:type="gramEnd"/>
          <w:r w:rsidRPr="000318A7">
            <w:rPr>
              <w:rFonts w:ascii="Arial" w:hAnsi="Arial" w:cs="Arial"/>
              <w:color w:val="000000"/>
              <w:sz w:val="12"/>
              <w:szCs w:val="17"/>
            </w:rPr>
            <w:t xml:space="preserve"> № 038478 от 22 июня 2017 года</w:t>
          </w:r>
        </w:p>
      </w:tc>
    </w:tr>
  </w:tbl>
  <w:p w:rsidR="001B3AFB" w:rsidRDefault="001B3A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888"/>
    <w:multiLevelType w:val="hybridMultilevel"/>
    <w:tmpl w:val="EC0AF3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7472F"/>
    <w:multiLevelType w:val="hybridMultilevel"/>
    <w:tmpl w:val="338016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76D36"/>
    <w:multiLevelType w:val="hybridMultilevel"/>
    <w:tmpl w:val="B47A39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F1ED5"/>
    <w:multiLevelType w:val="hybridMultilevel"/>
    <w:tmpl w:val="C284F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4482F"/>
    <w:multiLevelType w:val="hybridMultilevel"/>
    <w:tmpl w:val="CA84E0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2759F"/>
    <w:multiLevelType w:val="multilevel"/>
    <w:tmpl w:val="5710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A661F0"/>
    <w:multiLevelType w:val="hybridMultilevel"/>
    <w:tmpl w:val="AD66AB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F5BF7"/>
    <w:multiLevelType w:val="hybridMultilevel"/>
    <w:tmpl w:val="DA300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C53F9"/>
    <w:multiLevelType w:val="hybridMultilevel"/>
    <w:tmpl w:val="73D40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212C9"/>
    <w:multiLevelType w:val="hybridMultilevel"/>
    <w:tmpl w:val="DC96DF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20E49"/>
    <w:multiLevelType w:val="multilevel"/>
    <w:tmpl w:val="6F72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3757F7D"/>
    <w:multiLevelType w:val="hybridMultilevel"/>
    <w:tmpl w:val="7E1468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E2E04"/>
    <w:multiLevelType w:val="hybridMultilevel"/>
    <w:tmpl w:val="36327F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238D1"/>
    <w:multiLevelType w:val="hybridMultilevel"/>
    <w:tmpl w:val="B860B8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35D69"/>
    <w:multiLevelType w:val="hybridMultilevel"/>
    <w:tmpl w:val="B91ABF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012F8"/>
    <w:multiLevelType w:val="hybridMultilevel"/>
    <w:tmpl w:val="4B00B1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310B52"/>
    <w:multiLevelType w:val="hybridMultilevel"/>
    <w:tmpl w:val="92DA50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056EC0"/>
    <w:multiLevelType w:val="hybridMultilevel"/>
    <w:tmpl w:val="4C6059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06DB1"/>
    <w:multiLevelType w:val="hybridMultilevel"/>
    <w:tmpl w:val="CB7C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994740"/>
    <w:multiLevelType w:val="multilevel"/>
    <w:tmpl w:val="EDF2F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C00000"/>
        <w:sz w:val="28"/>
        <w:szCs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0F12C04"/>
    <w:multiLevelType w:val="hybridMultilevel"/>
    <w:tmpl w:val="71204B1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19F3E3F"/>
    <w:multiLevelType w:val="hybridMultilevel"/>
    <w:tmpl w:val="955A45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11231"/>
    <w:multiLevelType w:val="hybridMultilevel"/>
    <w:tmpl w:val="501802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F477BA"/>
    <w:multiLevelType w:val="hybridMultilevel"/>
    <w:tmpl w:val="877E7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77C8E"/>
    <w:multiLevelType w:val="hybridMultilevel"/>
    <w:tmpl w:val="91586AD4"/>
    <w:lvl w:ilvl="0" w:tplc="6D34CF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6C07B2E"/>
    <w:multiLevelType w:val="multilevel"/>
    <w:tmpl w:val="E7F0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9FE56DE"/>
    <w:multiLevelType w:val="multilevel"/>
    <w:tmpl w:val="B630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D93769"/>
    <w:multiLevelType w:val="hybridMultilevel"/>
    <w:tmpl w:val="E4D6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1A228E"/>
    <w:multiLevelType w:val="hybridMultilevel"/>
    <w:tmpl w:val="D0701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AC121F"/>
    <w:multiLevelType w:val="hybridMultilevel"/>
    <w:tmpl w:val="A3B04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AE3841"/>
    <w:multiLevelType w:val="hybridMultilevel"/>
    <w:tmpl w:val="C122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F4DF0"/>
    <w:multiLevelType w:val="multilevel"/>
    <w:tmpl w:val="4BE0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4F536A"/>
    <w:multiLevelType w:val="hybridMultilevel"/>
    <w:tmpl w:val="A3347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4F5BC7"/>
    <w:multiLevelType w:val="multilevel"/>
    <w:tmpl w:val="FB90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F22F7A"/>
    <w:multiLevelType w:val="hybridMultilevel"/>
    <w:tmpl w:val="2FD45AC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5FE0F6C"/>
    <w:multiLevelType w:val="multilevel"/>
    <w:tmpl w:val="CB14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4A2EBB"/>
    <w:multiLevelType w:val="multilevel"/>
    <w:tmpl w:val="0A20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E4574A"/>
    <w:multiLevelType w:val="hybridMultilevel"/>
    <w:tmpl w:val="01E2917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2B85860"/>
    <w:multiLevelType w:val="hybridMultilevel"/>
    <w:tmpl w:val="4AA2837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>
    <w:nsid w:val="77234417"/>
    <w:multiLevelType w:val="multilevel"/>
    <w:tmpl w:val="B432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FD4543"/>
    <w:multiLevelType w:val="hybridMultilevel"/>
    <w:tmpl w:val="AB5684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4B5F71"/>
    <w:multiLevelType w:val="hybridMultilevel"/>
    <w:tmpl w:val="97AAB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C51AB2"/>
    <w:multiLevelType w:val="hybridMultilevel"/>
    <w:tmpl w:val="842ADA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A53A74"/>
    <w:multiLevelType w:val="hybridMultilevel"/>
    <w:tmpl w:val="299CC8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"/>
  </w:num>
  <w:num w:numId="3">
    <w:abstractNumId w:val="26"/>
  </w:num>
  <w:num w:numId="4">
    <w:abstractNumId w:val="32"/>
  </w:num>
  <w:num w:numId="5">
    <w:abstractNumId w:val="39"/>
  </w:num>
  <w:num w:numId="6">
    <w:abstractNumId w:val="35"/>
  </w:num>
  <w:num w:numId="7">
    <w:abstractNumId w:val="31"/>
  </w:num>
  <w:num w:numId="8">
    <w:abstractNumId w:val="5"/>
  </w:num>
  <w:num w:numId="9">
    <w:abstractNumId w:val="36"/>
  </w:num>
  <w:num w:numId="10">
    <w:abstractNumId w:val="7"/>
  </w:num>
  <w:num w:numId="11">
    <w:abstractNumId w:val="25"/>
  </w:num>
  <w:num w:numId="12">
    <w:abstractNumId w:val="19"/>
  </w:num>
  <w:num w:numId="13">
    <w:abstractNumId w:val="10"/>
  </w:num>
  <w:num w:numId="14">
    <w:abstractNumId w:val="28"/>
  </w:num>
  <w:num w:numId="15">
    <w:abstractNumId w:val="27"/>
  </w:num>
  <w:num w:numId="16">
    <w:abstractNumId w:val="29"/>
  </w:num>
  <w:num w:numId="17">
    <w:abstractNumId w:val="18"/>
  </w:num>
  <w:num w:numId="18">
    <w:abstractNumId w:val="38"/>
  </w:num>
  <w:num w:numId="19">
    <w:abstractNumId w:val="15"/>
  </w:num>
  <w:num w:numId="20">
    <w:abstractNumId w:val="42"/>
  </w:num>
  <w:num w:numId="21">
    <w:abstractNumId w:val="41"/>
  </w:num>
  <w:num w:numId="22">
    <w:abstractNumId w:val="23"/>
  </w:num>
  <w:num w:numId="23">
    <w:abstractNumId w:val="22"/>
  </w:num>
  <w:num w:numId="24">
    <w:abstractNumId w:val="2"/>
  </w:num>
  <w:num w:numId="25">
    <w:abstractNumId w:val="16"/>
  </w:num>
  <w:num w:numId="26">
    <w:abstractNumId w:val="11"/>
  </w:num>
  <w:num w:numId="27">
    <w:abstractNumId w:val="6"/>
  </w:num>
  <w:num w:numId="28">
    <w:abstractNumId w:val="14"/>
  </w:num>
  <w:num w:numId="29">
    <w:abstractNumId w:val="9"/>
  </w:num>
  <w:num w:numId="30">
    <w:abstractNumId w:val="43"/>
  </w:num>
  <w:num w:numId="31">
    <w:abstractNumId w:val="30"/>
  </w:num>
  <w:num w:numId="32">
    <w:abstractNumId w:val="20"/>
  </w:num>
  <w:num w:numId="33">
    <w:abstractNumId w:val="37"/>
  </w:num>
  <w:num w:numId="34">
    <w:abstractNumId w:val="40"/>
  </w:num>
  <w:num w:numId="35">
    <w:abstractNumId w:val="21"/>
  </w:num>
  <w:num w:numId="36">
    <w:abstractNumId w:val="12"/>
  </w:num>
  <w:num w:numId="37">
    <w:abstractNumId w:val="24"/>
  </w:num>
  <w:num w:numId="38">
    <w:abstractNumId w:val="1"/>
  </w:num>
  <w:num w:numId="39">
    <w:abstractNumId w:val="8"/>
  </w:num>
  <w:num w:numId="40">
    <w:abstractNumId w:val="4"/>
  </w:num>
  <w:num w:numId="41">
    <w:abstractNumId w:val="17"/>
  </w:num>
  <w:num w:numId="42">
    <w:abstractNumId w:val="34"/>
  </w:num>
  <w:num w:numId="43">
    <w:abstractNumId w:val="13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AFB"/>
    <w:rsid w:val="00023179"/>
    <w:rsid w:val="00034ABF"/>
    <w:rsid w:val="00035FEE"/>
    <w:rsid w:val="00036B6A"/>
    <w:rsid w:val="0005460C"/>
    <w:rsid w:val="000952B6"/>
    <w:rsid w:val="000A6EE2"/>
    <w:rsid w:val="000C06F4"/>
    <w:rsid w:val="000C37EB"/>
    <w:rsid w:val="000D0A46"/>
    <w:rsid w:val="000E7F8B"/>
    <w:rsid w:val="000F6295"/>
    <w:rsid w:val="00101946"/>
    <w:rsid w:val="00117245"/>
    <w:rsid w:val="00122BD3"/>
    <w:rsid w:val="0013220D"/>
    <w:rsid w:val="00132E80"/>
    <w:rsid w:val="00153BDD"/>
    <w:rsid w:val="00155D1D"/>
    <w:rsid w:val="00156F98"/>
    <w:rsid w:val="00165C50"/>
    <w:rsid w:val="001755B8"/>
    <w:rsid w:val="0018216A"/>
    <w:rsid w:val="0018533D"/>
    <w:rsid w:val="0018652F"/>
    <w:rsid w:val="00186ED6"/>
    <w:rsid w:val="001957D4"/>
    <w:rsid w:val="001B39BA"/>
    <w:rsid w:val="001B3AFB"/>
    <w:rsid w:val="001C3F9E"/>
    <w:rsid w:val="001D13B7"/>
    <w:rsid w:val="001F0921"/>
    <w:rsid w:val="001F4A88"/>
    <w:rsid w:val="002034EC"/>
    <w:rsid w:val="0021302B"/>
    <w:rsid w:val="002377B9"/>
    <w:rsid w:val="00253B85"/>
    <w:rsid w:val="002568EF"/>
    <w:rsid w:val="00257A9D"/>
    <w:rsid w:val="002605B2"/>
    <w:rsid w:val="002777D2"/>
    <w:rsid w:val="002B21B5"/>
    <w:rsid w:val="002B3597"/>
    <w:rsid w:val="002B778D"/>
    <w:rsid w:val="002C21C2"/>
    <w:rsid w:val="002C689C"/>
    <w:rsid w:val="002D0153"/>
    <w:rsid w:val="002D3800"/>
    <w:rsid w:val="002E377E"/>
    <w:rsid w:val="002E4DED"/>
    <w:rsid w:val="002F3324"/>
    <w:rsid w:val="00307B12"/>
    <w:rsid w:val="00312B48"/>
    <w:rsid w:val="0031302E"/>
    <w:rsid w:val="00316E6F"/>
    <w:rsid w:val="003215F7"/>
    <w:rsid w:val="00325669"/>
    <w:rsid w:val="00355382"/>
    <w:rsid w:val="003558AF"/>
    <w:rsid w:val="00385F37"/>
    <w:rsid w:val="00395D7D"/>
    <w:rsid w:val="003A529A"/>
    <w:rsid w:val="003C4B67"/>
    <w:rsid w:val="003D0068"/>
    <w:rsid w:val="003D2042"/>
    <w:rsid w:val="003D3024"/>
    <w:rsid w:val="003F3542"/>
    <w:rsid w:val="003F438B"/>
    <w:rsid w:val="00400A63"/>
    <w:rsid w:val="00414DD0"/>
    <w:rsid w:val="00416848"/>
    <w:rsid w:val="00426492"/>
    <w:rsid w:val="0042677C"/>
    <w:rsid w:val="0044452B"/>
    <w:rsid w:val="0045291F"/>
    <w:rsid w:val="004562AA"/>
    <w:rsid w:val="0045727A"/>
    <w:rsid w:val="00460B08"/>
    <w:rsid w:val="00475A0B"/>
    <w:rsid w:val="00486B7E"/>
    <w:rsid w:val="004A377C"/>
    <w:rsid w:val="004A4E3D"/>
    <w:rsid w:val="004B257B"/>
    <w:rsid w:val="004B3440"/>
    <w:rsid w:val="004C0810"/>
    <w:rsid w:val="004D3F5C"/>
    <w:rsid w:val="004D6405"/>
    <w:rsid w:val="004D725F"/>
    <w:rsid w:val="004D7EF6"/>
    <w:rsid w:val="004F588A"/>
    <w:rsid w:val="005008C5"/>
    <w:rsid w:val="00506374"/>
    <w:rsid w:val="005065B0"/>
    <w:rsid w:val="00513A67"/>
    <w:rsid w:val="005215B0"/>
    <w:rsid w:val="005244A9"/>
    <w:rsid w:val="00530C86"/>
    <w:rsid w:val="005323DD"/>
    <w:rsid w:val="00540826"/>
    <w:rsid w:val="00553D43"/>
    <w:rsid w:val="00556C5D"/>
    <w:rsid w:val="00566C7C"/>
    <w:rsid w:val="00577052"/>
    <w:rsid w:val="0058106B"/>
    <w:rsid w:val="005857B3"/>
    <w:rsid w:val="00587268"/>
    <w:rsid w:val="005941C1"/>
    <w:rsid w:val="005A6F52"/>
    <w:rsid w:val="005B1015"/>
    <w:rsid w:val="005B1F80"/>
    <w:rsid w:val="005C365B"/>
    <w:rsid w:val="005D05A3"/>
    <w:rsid w:val="005D0C50"/>
    <w:rsid w:val="005E059A"/>
    <w:rsid w:val="005F554C"/>
    <w:rsid w:val="006001A0"/>
    <w:rsid w:val="006050F8"/>
    <w:rsid w:val="00624A12"/>
    <w:rsid w:val="00634192"/>
    <w:rsid w:val="006722E1"/>
    <w:rsid w:val="0067378B"/>
    <w:rsid w:val="00673DD6"/>
    <w:rsid w:val="00684B64"/>
    <w:rsid w:val="006860A5"/>
    <w:rsid w:val="006A2597"/>
    <w:rsid w:val="006A25CB"/>
    <w:rsid w:val="006A6AE9"/>
    <w:rsid w:val="006C3946"/>
    <w:rsid w:val="006C4D3C"/>
    <w:rsid w:val="006E20E5"/>
    <w:rsid w:val="006E70D9"/>
    <w:rsid w:val="006F080C"/>
    <w:rsid w:val="007037F4"/>
    <w:rsid w:val="007275A8"/>
    <w:rsid w:val="007402D2"/>
    <w:rsid w:val="00740DF6"/>
    <w:rsid w:val="00742A83"/>
    <w:rsid w:val="007433C9"/>
    <w:rsid w:val="007461AB"/>
    <w:rsid w:val="00747343"/>
    <w:rsid w:val="00764ACE"/>
    <w:rsid w:val="007877DF"/>
    <w:rsid w:val="007B01C4"/>
    <w:rsid w:val="007B236B"/>
    <w:rsid w:val="007B5AE2"/>
    <w:rsid w:val="007C52B9"/>
    <w:rsid w:val="007C6543"/>
    <w:rsid w:val="007D05C2"/>
    <w:rsid w:val="007D4A19"/>
    <w:rsid w:val="007E1301"/>
    <w:rsid w:val="007F3B45"/>
    <w:rsid w:val="00807EAB"/>
    <w:rsid w:val="008131B9"/>
    <w:rsid w:val="00834747"/>
    <w:rsid w:val="00841EA6"/>
    <w:rsid w:val="008575B6"/>
    <w:rsid w:val="008644F3"/>
    <w:rsid w:val="008650A5"/>
    <w:rsid w:val="008676E4"/>
    <w:rsid w:val="0088738A"/>
    <w:rsid w:val="00895BDD"/>
    <w:rsid w:val="008B2212"/>
    <w:rsid w:val="008B5D92"/>
    <w:rsid w:val="008B61DC"/>
    <w:rsid w:val="008E716B"/>
    <w:rsid w:val="008F6031"/>
    <w:rsid w:val="00920B16"/>
    <w:rsid w:val="00932CBF"/>
    <w:rsid w:val="0093778A"/>
    <w:rsid w:val="00943411"/>
    <w:rsid w:val="009445C0"/>
    <w:rsid w:val="009455CF"/>
    <w:rsid w:val="00945D65"/>
    <w:rsid w:val="00946E84"/>
    <w:rsid w:val="009478AC"/>
    <w:rsid w:val="00952093"/>
    <w:rsid w:val="00956880"/>
    <w:rsid w:val="00961C23"/>
    <w:rsid w:val="0097675B"/>
    <w:rsid w:val="00983FBF"/>
    <w:rsid w:val="009861CB"/>
    <w:rsid w:val="0098713C"/>
    <w:rsid w:val="009918D0"/>
    <w:rsid w:val="009A3703"/>
    <w:rsid w:val="009B5E4C"/>
    <w:rsid w:val="009C0B3D"/>
    <w:rsid w:val="009C2689"/>
    <w:rsid w:val="009C4F8A"/>
    <w:rsid w:val="009C6036"/>
    <w:rsid w:val="009C6E74"/>
    <w:rsid w:val="009D42F1"/>
    <w:rsid w:val="009D61D1"/>
    <w:rsid w:val="009E5F91"/>
    <w:rsid w:val="00A024A2"/>
    <w:rsid w:val="00A02BE9"/>
    <w:rsid w:val="00A02CF0"/>
    <w:rsid w:val="00A04A85"/>
    <w:rsid w:val="00A05870"/>
    <w:rsid w:val="00A138AF"/>
    <w:rsid w:val="00A3347D"/>
    <w:rsid w:val="00A42948"/>
    <w:rsid w:val="00A42A10"/>
    <w:rsid w:val="00A75A5F"/>
    <w:rsid w:val="00A87B8D"/>
    <w:rsid w:val="00A95443"/>
    <w:rsid w:val="00AA3CC5"/>
    <w:rsid w:val="00AA4F92"/>
    <w:rsid w:val="00AC63BA"/>
    <w:rsid w:val="00AD27ED"/>
    <w:rsid w:val="00AE286C"/>
    <w:rsid w:val="00AF4B6D"/>
    <w:rsid w:val="00B0488F"/>
    <w:rsid w:val="00B127C3"/>
    <w:rsid w:val="00B2212A"/>
    <w:rsid w:val="00B33675"/>
    <w:rsid w:val="00B348EB"/>
    <w:rsid w:val="00B34B4A"/>
    <w:rsid w:val="00B404C4"/>
    <w:rsid w:val="00B51F73"/>
    <w:rsid w:val="00B77796"/>
    <w:rsid w:val="00B82508"/>
    <w:rsid w:val="00B83DE8"/>
    <w:rsid w:val="00B915EC"/>
    <w:rsid w:val="00B92EB6"/>
    <w:rsid w:val="00B96D49"/>
    <w:rsid w:val="00BA11B5"/>
    <w:rsid w:val="00BA6A53"/>
    <w:rsid w:val="00BD33AE"/>
    <w:rsid w:val="00BE1155"/>
    <w:rsid w:val="00BF2E69"/>
    <w:rsid w:val="00C017E1"/>
    <w:rsid w:val="00C1021C"/>
    <w:rsid w:val="00C107D1"/>
    <w:rsid w:val="00C11B61"/>
    <w:rsid w:val="00C24B39"/>
    <w:rsid w:val="00C44997"/>
    <w:rsid w:val="00C4571B"/>
    <w:rsid w:val="00C51EE5"/>
    <w:rsid w:val="00C64DDF"/>
    <w:rsid w:val="00C65706"/>
    <w:rsid w:val="00C745A8"/>
    <w:rsid w:val="00C90C92"/>
    <w:rsid w:val="00CA750B"/>
    <w:rsid w:val="00CC05E1"/>
    <w:rsid w:val="00CC4BC7"/>
    <w:rsid w:val="00CC634F"/>
    <w:rsid w:val="00CD4E36"/>
    <w:rsid w:val="00CF0C8B"/>
    <w:rsid w:val="00CF204C"/>
    <w:rsid w:val="00CF4DC4"/>
    <w:rsid w:val="00D10914"/>
    <w:rsid w:val="00D225CA"/>
    <w:rsid w:val="00D23085"/>
    <w:rsid w:val="00D4514D"/>
    <w:rsid w:val="00D509FE"/>
    <w:rsid w:val="00D56A8E"/>
    <w:rsid w:val="00D56AB1"/>
    <w:rsid w:val="00D60EA0"/>
    <w:rsid w:val="00D70F79"/>
    <w:rsid w:val="00D7543C"/>
    <w:rsid w:val="00D76C0F"/>
    <w:rsid w:val="00D96FF6"/>
    <w:rsid w:val="00DA481B"/>
    <w:rsid w:val="00DD60CA"/>
    <w:rsid w:val="00DE18D1"/>
    <w:rsid w:val="00E15731"/>
    <w:rsid w:val="00E25CFD"/>
    <w:rsid w:val="00E301F2"/>
    <w:rsid w:val="00E3032B"/>
    <w:rsid w:val="00E31AAD"/>
    <w:rsid w:val="00E33459"/>
    <w:rsid w:val="00E35AAB"/>
    <w:rsid w:val="00E35BEC"/>
    <w:rsid w:val="00E364D4"/>
    <w:rsid w:val="00E51D64"/>
    <w:rsid w:val="00E53812"/>
    <w:rsid w:val="00E64DAB"/>
    <w:rsid w:val="00E769E4"/>
    <w:rsid w:val="00E845FF"/>
    <w:rsid w:val="00E90280"/>
    <w:rsid w:val="00E928C9"/>
    <w:rsid w:val="00EA38BA"/>
    <w:rsid w:val="00EA52BE"/>
    <w:rsid w:val="00EB3DFD"/>
    <w:rsid w:val="00EB530F"/>
    <w:rsid w:val="00ED4E70"/>
    <w:rsid w:val="00ED5634"/>
    <w:rsid w:val="00EF2258"/>
    <w:rsid w:val="00EF4B38"/>
    <w:rsid w:val="00F04E72"/>
    <w:rsid w:val="00F17EE2"/>
    <w:rsid w:val="00F205AE"/>
    <w:rsid w:val="00F32669"/>
    <w:rsid w:val="00F34912"/>
    <w:rsid w:val="00F436B4"/>
    <w:rsid w:val="00F524E7"/>
    <w:rsid w:val="00F729DD"/>
    <w:rsid w:val="00F778AB"/>
    <w:rsid w:val="00F80838"/>
    <w:rsid w:val="00F834E2"/>
    <w:rsid w:val="00F85C83"/>
    <w:rsid w:val="00FA3502"/>
    <w:rsid w:val="00FA44B8"/>
    <w:rsid w:val="00FA4675"/>
    <w:rsid w:val="00FA6DBD"/>
    <w:rsid w:val="00FB1F17"/>
    <w:rsid w:val="00F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FB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1B3AF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B3AF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B3AF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3A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B3A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3AF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3AFB"/>
    <w:rPr>
      <w:rFonts w:ascii="Cambria" w:eastAsia="Times New Roman" w:hAnsi="Cambria" w:cs="Times New Roman"/>
      <w:b/>
      <w:bCs/>
      <w:color w:val="4F81BD"/>
    </w:rPr>
  </w:style>
  <w:style w:type="paragraph" w:styleId="a4">
    <w:name w:val="Normal (Web)"/>
    <w:basedOn w:val="a"/>
    <w:uiPriority w:val="99"/>
    <w:unhideWhenUsed/>
    <w:rsid w:val="001B3A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3AFB"/>
    <w:pPr>
      <w:ind w:left="720"/>
      <w:contextualSpacing/>
    </w:pPr>
  </w:style>
  <w:style w:type="table" w:styleId="a6">
    <w:name w:val="Table Grid"/>
    <w:basedOn w:val="a1"/>
    <w:uiPriority w:val="59"/>
    <w:rsid w:val="001B3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B3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3AFB"/>
  </w:style>
  <w:style w:type="paragraph" w:styleId="a9">
    <w:name w:val="footer"/>
    <w:basedOn w:val="a"/>
    <w:link w:val="aa"/>
    <w:uiPriority w:val="99"/>
    <w:unhideWhenUsed/>
    <w:rsid w:val="001B3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3AFB"/>
  </w:style>
  <w:style w:type="paragraph" w:styleId="ab">
    <w:name w:val="Balloon Text"/>
    <w:basedOn w:val="a"/>
    <w:link w:val="ac"/>
    <w:uiPriority w:val="99"/>
    <w:semiHidden/>
    <w:unhideWhenUsed/>
    <w:rsid w:val="001B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3AFB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1B3AF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3AF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3AFB"/>
    <w:rPr>
      <w:vertAlign w:val="superscript"/>
    </w:rPr>
  </w:style>
  <w:style w:type="paragraph" w:styleId="af0">
    <w:name w:val="No Spacing"/>
    <w:uiPriority w:val="1"/>
    <w:qFormat/>
    <w:rsid w:val="00E90280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f1">
    <w:name w:val="Цветовое выделение"/>
    <w:uiPriority w:val="99"/>
    <w:rsid w:val="00EF4B38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5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15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64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56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75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F45DB-8D5B-476E-963F-B1C75483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1431</Words>
  <Characters>8163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Карта семинара</vt:lpstr>
      <vt:lpstr/>
    </vt:vector>
  </TitlesOfParts>
  <Company>Microsoft</Company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семинара</dc:title>
  <dc:creator>User</dc:creator>
  <cp:lastModifiedBy>Ирина Буракова</cp:lastModifiedBy>
  <cp:revision>3</cp:revision>
  <cp:lastPrinted>2014-12-26T10:11:00Z</cp:lastPrinted>
  <dcterms:created xsi:type="dcterms:W3CDTF">2023-11-01T11:15:00Z</dcterms:created>
  <dcterms:modified xsi:type="dcterms:W3CDTF">2023-11-01T11:45:00Z</dcterms:modified>
</cp:coreProperties>
</file>